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CӨЖ: ПАТОЛОГИЯНЫҢ МОЛЕКУЛАЛЫҚ НЕГІЗДЕРІ</w:t>
      </w:r>
    </w:p>
    <w:p w:rsidR="00000000" w:rsidDel="00000000" w:rsidP="00000000" w:rsidRDefault="00000000" w:rsidRPr="00000000" w14:paraId="0000000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Генетика мен фармакологияның біріктірілген тапсырмасы</w:t>
      </w:r>
    </w:p>
    <w:p w:rsidR="00000000" w:rsidDel="00000000" w:rsidP="00000000" w:rsidRDefault="00000000" w:rsidRPr="00000000" w14:paraId="00000003">
      <w:pPr>
        <w:spacing w:after="0"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СӨЖ үшін сіз топтағы студенттермен жұмыс істейсіз (әр топта 10-12 студент). Белгілі бір тақырыпты зерттеу және осы мақалалардағы барлық ақпаратты бір тезиске жинақтау үшін фармакогенетикалық мақалаларды (әр студентке кемінде бір мақала) табу керек. Таңдауға болатын ықтимал тақырыптар кестеде берілген (2-қосымша). Әркімнің үлесу өте маңызды, өйткені барлық студент қосымшадағы кестені толтыруы керек. Бұл әр топ үшін бір кесте, онда әрбір студент өзі зерттеген кем дегенде 1 мақаланы енгізеді және сол жерден маңызды мәліметтерді көрсетеді, мысалы:</w:t>
      </w:r>
    </w:p>
    <w:p w:rsidR="00000000" w:rsidDel="00000000" w:rsidP="00000000" w:rsidRDefault="00000000" w:rsidRPr="00000000" w14:paraId="00000006">
      <w:pPr>
        <w:numPr>
          <w:ilvl w:val="0"/>
          <w:numId w:val="3"/>
        </w:numPr>
        <w:spacing w:after="0"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Тақырып</w:t>
      </w:r>
    </w:p>
    <w:p w:rsidR="00000000" w:rsidDel="00000000" w:rsidP="00000000" w:rsidRDefault="00000000" w:rsidRPr="00000000" w14:paraId="00000007">
      <w:pPr>
        <w:numPr>
          <w:ilvl w:val="0"/>
          <w:numId w:val="3"/>
        </w:numPr>
        <w:spacing w:after="0"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Автор, журнал</w:t>
      </w:r>
    </w:p>
    <w:p w:rsidR="00000000" w:rsidDel="00000000" w:rsidP="00000000" w:rsidRDefault="00000000" w:rsidRPr="00000000" w14:paraId="00000008">
      <w:pPr>
        <w:numPr>
          <w:ilvl w:val="0"/>
          <w:numId w:val="3"/>
        </w:numPr>
        <w:spacing w:after="0"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Гипотезалар</w:t>
      </w:r>
    </w:p>
    <w:p w:rsidR="00000000" w:rsidDel="00000000" w:rsidP="00000000" w:rsidRDefault="00000000" w:rsidRPr="00000000" w14:paraId="00000009">
      <w:pPr>
        <w:numPr>
          <w:ilvl w:val="0"/>
          <w:numId w:val="3"/>
        </w:numPr>
        <w:spacing w:after="0"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Әдістеме мен материалдар</w:t>
      </w:r>
    </w:p>
    <w:p w:rsidR="00000000" w:rsidDel="00000000" w:rsidP="00000000" w:rsidRDefault="00000000" w:rsidRPr="00000000" w14:paraId="0000000A">
      <w:pPr>
        <w:numPr>
          <w:ilvl w:val="0"/>
          <w:numId w:val="3"/>
        </w:numPr>
        <w:spacing w:after="0"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Нәтижелер</w:t>
      </w:r>
    </w:p>
    <w:p w:rsidR="00000000" w:rsidDel="00000000" w:rsidP="00000000" w:rsidRDefault="00000000" w:rsidRPr="00000000" w14:paraId="0000000B">
      <w:pPr>
        <w:numPr>
          <w:ilvl w:val="0"/>
          <w:numId w:val="3"/>
        </w:numPr>
        <w:spacing w:after="0"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Қорытынды</w:t>
      </w:r>
    </w:p>
    <w:p w:rsidR="00000000" w:rsidDel="00000000" w:rsidP="00000000" w:rsidRDefault="00000000" w:rsidRPr="00000000" w14:paraId="0000000C">
      <w:pPr>
        <w:spacing w:after="0"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Сенімді ғылыми мақалаларды табу үшін Google Scholar (https://scholar.google.com/) пайдаланыңыз. СӨЖ 9-аптада ғылыми конференция түрінде өтеді, бірақ тезистер мен кестелер алдын ала ұсынылуы керек. Тезис көлемі, библиографияны қоса алғанда (шамамен 2 бет) 1000 сөзден аспауы керек.</w:t>
      </w:r>
    </w:p>
    <w:p w:rsidR="00000000" w:rsidDel="00000000" w:rsidP="00000000" w:rsidRDefault="00000000" w:rsidRPr="00000000" w14:paraId="0000000E">
      <w:pPr>
        <w:spacing w:after="0"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Жұмыстар плагиатқа тексеріледі. Ғылыми тезистердегі плагиат үлесі 25%-дан аспауы тиіс.</w:t>
      </w:r>
    </w:p>
    <w:p w:rsidR="00000000" w:rsidDel="00000000" w:rsidP="00000000" w:rsidRDefault="00000000" w:rsidRPr="00000000" w14:paraId="00000010">
      <w:pPr>
        <w:spacing w:after="0"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Бес үздік тезис ____________________ күні өтетін ғылыми конференцияда жарияланады. Бағалардың келесі категориялары болады:</w:t>
      </w:r>
    </w:p>
    <w:p w:rsidR="00000000" w:rsidDel="00000000" w:rsidP="00000000" w:rsidRDefault="00000000" w:rsidRPr="00000000" w14:paraId="00000012">
      <w:pPr>
        <w:spacing w:after="0"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4">
      <w:pPr>
        <w:numPr>
          <w:ilvl w:val="0"/>
          <w:numId w:val="2"/>
        </w:numPr>
        <w:spacing w:after="0"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90 – 100% таңдалған 5 үздік тезис  </w:t>
      </w:r>
      <w:r w:rsidDel="00000000" w:rsidR="00000000" w:rsidRPr="00000000">
        <w:rPr>
          <w:rtl w:val="0"/>
        </w:rPr>
      </w:r>
    </w:p>
    <w:p w:rsidR="00000000" w:rsidDel="00000000" w:rsidP="00000000" w:rsidRDefault="00000000" w:rsidRPr="00000000" w14:paraId="00000015">
      <w:pPr>
        <w:numPr>
          <w:ilvl w:val="0"/>
          <w:numId w:val="2"/>
        </w:numPr>
        <w:spacing w:after="0"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50 – 80% қалған жұмыстар</w:t>
      </w:r>
      <w:r w:rsidDel="00000000" w:rsidR="00000000" w:rsidRPr="00000000">
        <w:rPr>
          <w:rtl w:val="0"/>
        </w:rPr>
      </w:r>
    </w:p>
    <w:p w:rsidR="00000000" w:rsidDel="00000000" w:rsidP="00000000" w:rsidRDefault="00000000" w:rsidRPr="00000000" w14:paraId="00000016">
      <w:pPr>
        <w:numPr>
          <w:ilvl w:val="0"/>
          <w:numId w:val="2"/>
        </w:numPr>
        <w:spacing w:after="0"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0% плагиаттан өтпеген жұмыстар</w:t>
      </w:r>
      <w:r w:rsidDel="00000000" w:rsidR="00000000" w:rsidRPr="00000000">
        <w:rPr>
          <w:rtl w:val="0"/>
        </w:rPr>
      </w:r>
    </w:p>
    <w:p w:rsidR="00000000" w:rsidDel="00000000" w:rsidP="00000000" w:rsidRDefault="00000000" w:rsidRPr="00000000" w14:paraId="00000017">
      <w:pPr>
        <w:spacing w:after="0" w:line="240" w:lineRule="auto"/>
        <w:ind w:left="720" w:firstLine="0"/>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Бұл тапсырма жалпы курстын 10 баллын қамтиды. </w:t>
      </w:r>
    </w:p>
    <w:p w:rsidR="00000000" w:rsidDel="00000000" w:rsidP="00000000" w:rsidRDefault="00000000" w:rsidRPr="00000000" w14:paraId="0000001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және 7-ші аптада оқытушымен кеңес жүргізіледі, кеңес барысында сіз ағымдағы жұмысыңыз туралы пікір ала аласыз.</w:t>
      </w:r>
    </w:p>
    <w:p w:rsidR="00000000" w:rsidDel="00000000" w:rsidP="00000000" w:rsidRDefault="00000000" w:rsidRPr="00000000" w14:paraId="0000001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Теззисті бағалау критерийлері мен кестелер (толығырақ 3-қосымшадан қараңыз):</w:t>
      </w:r>
    </w:p>
    <w:p w:rsidR="00000000" w:rsidDel="00000000" w:rsidP="00000000" w:rsidRDefault="00000000" w:rsidRPr="00000000" w14:paraId="0000001E">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numPr>
          <w:ilvl w:val="0"/>
          <w:numId w:val="4"/>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Зерттеу мақаласын іздеңіз және этикалық/мәдени және әлеуметтік/топтық ойларды ескере отырып, қандай түйін қажет екенін нақтылаңыз немесе анықтаңыз.</w:t>
      </w:r>
    </w:p>
    <w:p w:rsidR="00000000" w:rsidDel="00000000" w:rsidP="00000000" w:rsidRDefault="00000000" w:rsidRPr="00000000" w14:paraId="00000020">
      <w:pPr>
        <w:numPr>
          <w:ilvl w:val="0"/>
          <w:numId w:val="4"/>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Тиісті әдістемені қолдана отырып, қажетті ақпаратты/деректерді табыңыз және жасаңыз.</w:t>
      </w:r>
    </w:p>
    <w:p w:rsidR="00000000" w:rsidDel="00000000" w:rsidP="00000000" w:rsidRDefault="00000000" w:rsidRPr="00000000" w14:paraId="00000021">
      <w:pPr>
        <w:numPr>
          <w:ilvl w:val="0"/>
          <w:numId w:val="4"/>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Таңдалған дереккөздер мен қорытындылардың сенімділігін анықтаңыз және бағалаңыз, сондай-ақ пайдаланылған зерттеу әдістерін айқындаңыз.</w:t>
      </w:r>
    </w:p>
    <w:p w:rsidR="00000000" w:rsidDel="00000000" w:rsidP="00000000" w:rsidRDefault="00000000" w:rsidRPr="00000000" w14:paraId="00000022">
      <w:pPr>
        <w:numPr>
          <w:ilvl w:val="0"/>
          <w:numId w:val="4"/>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Үлгілер мен тақырыптарды анықтап, топтар мен зерттеу процестерін басқару үшін ақпарат пен деректерді ұйымдастырыңыз.</w:t>
      </w:r>
    </w:p>
    <w:p w:rsidR="00000000" w:rsidDel="00000000" w:rsidP="00000000" w:rsidRDefault="00000000" w:rsidRPr="00000000" w14:paraId="00000023">
      <w:pPr>
        <w:numPr>
          <w:ilvl w:val="0"/>
          <w:numId w:val="4"/>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Жеке/топтық үйлесімді түсінуге қол жеткізу үшін ақпаратты/деректерді сыни тұрғыдан талдаңыз және жаңа білімді синтездеңіз.</w:t>
      </w:r>
    </w:p>
    <w:p w:rsidR="00000000" w:rsidDel="00000000" w:rsidP="00000000" w:rsidRDefault="00000000" w:rsidRPr="00000000" w14:paraId="00000024">
      <w:pPr>
        <w:numPr>
          <w:ilvl w:val="0"/>
          <w:numId w:val="4"/>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Этикалық, әлеуметтік және мәдени  мәселелерді ескере отырып, процестерді, зерттеулерді түсіну және қолдануды жазып, ұсыныңыз, енгізіңіз және кері байланысқа жауап беріңіз.</w:t>
      </w:r>
    </w:p>
    <w:p w:rsidR="00000000" w:rsidDel="00000000" w:rsidP="00000000" w:rsidRDefault="00000000" w:rsidRPr="00000000" w14:paraId="00000025">
      <w:pPr>
        <w:numPr>
          <w:ilvl w:val="0"/>
          <w:numId w:val="4"/>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Тезисті түсіну үшін оқырман зерттей алатын ғылыми мақалалар мен түпнұсқа көздерге сілтемелерді қосыңыз.</w:t>
      </w:r>
    </w:p>
    <w:p w:rsidR="00000000" w:rsidDel="00000000" w:rsidP="00000000" w:rsidRDefault="00000000" w:rsidRPr="00000000" w14:paraId="00000026">
      <w:pPr>
        <w:spacing w:after="0" w:line="240" w:lineRule="auto"/>
        <w:ind w:left="720" w:firstLine="0"/>
        <w:rPr>
          <w:rFonts w:ascii="Times New Roman" w:cs="Times New Roman" w:eastAsia="Times New Roman" w:hAnsi="Times New Roman"/>
          <w:u w:val="none"/>
        </w:rPr>
      </w:pPr>
      <w:r w:rsidDel="00000000" w:rsidR="00000000" w:rsidRPr="00000000">
        <w:rPr>
          <w:rtl w:val="0"/>
        </w:rPr>
      </w:r>
    </w:p>
    <w:p w:rsidR="00000000" w:rsidDel="00000000" w:rsidP="00000000" w:rsidRDefault="00000000" w:rsidRPr="00000000" w14:paraId="00000027">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Дереккөздер</w:t>
      </w:r>
    </w:p>
    <w:p w:rsidR="00000000" w:rsidDel="00000000" w:rsidP="00000000" w:rsidRDefault="00000000" w:rsidRPr="00000000" w14:paraId="00000029">
      <w:pPr>
        <w:numPr>
          <w:ilvl w:val="0"/>
          <w:numId w:val="1"/>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www.pharmgkb.org/vips</w:t>
      </w:r>
    </w:p>
    <w:p w:rsidR="00000000" w:rsidDel="00000000" w:rsidP="00000000" w:rsidRDefault="00000000" w:rsidRPr="00000000" w14:paraId="0000002A">
      <w:pPr>
        <w:numPr>
          <w:ilvl w:val="0"/>
          <w:numId w:val="1"/>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Goodman and Gilman Basics of Therapeutics 2010, 2018</w:t>
      </w:r>
    </w:p>
    <w:p w:rsidR="00000000" w:rsidDel="00000000" w:rsidP="00000000" w:rsidRDefault="00000000" w:rsidRPr="00000000" w14:paraId="0000002B">
      <w:pPr>
        <w:numPr>
          <w:ilvl w:val="0"/>
          <w:numId w:val="1"/>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Pubmed. Ncbi </w:t>
      </w:r>
    </w:p>
    <w:p w:rsidR="00000000" w:rsidDel="00000000" w:rsidP="00000000" w:rsidRDefault="00000000" w:rsidRPr="00000000" w14:paraId="0000002C">
      <w:pPr>
        <w:numPr>
          <w:ilvl w:val="0"/>
          <w:numId w:val="1"/>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https://www.pharmgkb.org/vips</w:t>
      </w:r>
    </w:p>
    <w:p w:rsidR="00000000" w:rsidDel="00000000" w:rsidP="00000000" w:rsidRDefault="00000000" w:rsidRPr="00000000" w14:paraId="0000002D">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Презентацияны бағалау критерийлері:</w:t>
      </w:r>
      <w:r w:rsidDel="00000000" w:rsidR="00000000" w:rsidRPr="00000000">
        <w:rPr>
          <w:rtl w:val="0"/>
        </w:rPr>
      </w:r>
    </w:p>
    <w:p w:rsidR="00000000" w:rsidDel="00000000" w:rsidP="00000000" w:rsidRDefault="00000000" w:rsidRPr="00000000" w14:paraId="0000002F">
      <w:pPr>
        <w:spacing w:after="0" w:line="240" w:lineRule="auto"/>
        <w:rPr>
          <w:rFonts w:ascii="Times New Roman" w:cs="Times New Roman" w:eastAsia="Times New Roman" w:hAnsi="Times New Roman"/>
          <w:sz w:val="20"/>
          <w:szCs w:val="20"/>
        </w:rPr>
      </w:pPr>
      <w:r w:rsidDel="00000000" w:rsidR="00000000" w:rsidRPr="00000000">
        <w:rPr>
          <w:rtl w:val="0"/>
        </w:rPr>
      </w:r>
    </w:p>
    <w:tbl>
      <w:tblPr>
        <w:tblStyle w:val="Table1"/>
        <w:tblW w:w="133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50"/>
        <w:gridCol w:w="2595"/>
        <w:gridCol w:w="2775"/>
        <w:gridCol w:w="3105"/>
        <w:gridCol w:w="3255"/>
        <w:tblGridChange w:id="0">
          <w:tblGrid>
            <w:gridCol w:w="1650"/>
            <w:gridCol w:w="2595"/>
            <w:gridCol w:w="2775"/>
            <w:gridCol w:w="3105"/>
            <w:gridCol w:w="3255"/>
          </w:tblGrid>
        </w:tblGridChange>
      </w:tblGrid>
      <w:tr>
        <w:trPr>
          <w:cantSplit w:val="0"/>
          <w:trHeight w:val="69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0">
            <w:pPr>
              <w:spacing w:after="0" w:line="240" w:lineRule="auto"/>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Жетістік деңгейі</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1">
            <w:pPr>
              <w:spacing w:after="0" w:line="240" w:lineRule="auto"/>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Өте жақсы</w:t>
            </w:r>
          </w:p>
          <w:p w:rsidR="00000000" w:rsidDel="00000000" w:rsidP="00000000" w:rsidRDefault="00000000" w:rsidRPr="00000000" w14:paraId="00000032">
            <w:pPr>
              <w:spacing w:after="0" w:line="240" w:lineRule="auto"/>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3">
            <w:pPr>
              <w:spacing w:after="0" w:line="240" w:lineRule="auto"/>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Жақсы</w:t>
            </w:r>
          </w:p>
          <w:p w:rsidR="00000000" w:rsidDel="00000000" w:rsidP="00000000" w:rsidRDefault="00000000" w:rsidRPr="00000000" w14:paraId="00000034">
            <w:pPr>
              <w:spacing w:after="0" w:line="240" w:lineRule="auto"/>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5">
            <w:pPr>
              <w:spacing w:after="0" w:line="240" w:lineRule="auto"/>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Қанағаттанарлық</w:t>
            </w:r>
          </w:p>
          <w:p w:rsidR="00000000" w:rsidDel="00000000" w:rsidP="00000000" w:rsidRDefault="00000000" w:rsidRPr="00000000" w14:paraId="00000036">
            <w:pPr>
              <w:spacing w:after="0" w:line="240" w:lineRule="auto"/>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7">
            <w:pPr>
              <w:spacing w:after="0" w:line="240" w:lineRule="auto"/>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Қанағаттанарлықсыз</w:t>
            </w:r>
          </w:p>
          <w:p w:rsidR="00000000" w:rsidDel="00000000" w:rsidP="00000000" w:rsidRDefault="00000000" w:rsidRPr="00000000" w14:paraId="00000038">
            <w:pPr>
              <w:spacing w:after="0" w:line="240" w:lineRule="auto"/>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 </w:t>
            </w:r>
          </w:p>
        </w:tc>
      </w:tr>
      <w:tr>
        <w:trPr>
          <w:cantSplit w:val="0"/>
          <w:trHeight w:val="222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9">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Құрылым</w:t>
            </w:r>
          </w:p>
          <w:p w:rsidR="00000000" w:rsidDel="00000000" w:rsidP="00000000" w:rsidRDefault="00000000" w:rsidRPr="00000000" w14:paraId="0000003A">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B">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Жақсы ойластырылған және логикалық құрылған.</w:t>
            </w:r>
          </w:p>
          <w:p w:rsidR="00000000" w:rsidDel="00000000" w:rsidP="00000000" w:rsidRDefault="00000000" w:rsidRPr="00000000" w14:paraId="0000003C">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Ақпаратты өте жақсы жеткізеді</w:t>
            </w:r>
          </w:p>
          <w:p w:rsidR="00000000" w:rsidDel="00000000" w:rsidP="00000000" w:rsidRDefault="00000000" w:rsidRPr="00000000" w14:paraId="0000003D">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Мағынасы анық айтылған</w:t>
            </w:r>
          </w:p>
          <w:p w:rsidR="00000000" w:rsidDel="00000000" w:rsidP="00000000" w:rsidRDefault="00000000" w:rsidRPr="00000000" w14:paraId="0000003E">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Аудиторияға сәйкес келетін мазмұн деңгейі.</w:t>
            </w:r>
          </w:p>
          <w:p w:rsidR="00000000" w:rsidDel="00000000" w:rsidP="00000000" w:rsidRDefault="00000000" w:rsidRPr="00000000" w14:paraId="0000003F">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Тезиспен библиография жақсы жазылған.</w:t>
            </w:r>
          </w:p>
          <w:p w:rsidR="00000000" w:rsidDel="00000000" w:rsidP="00000000" w:rsidRDefault="00000000" w:rsidRPr="00000000" w14:paraId="00000040">
            <w:pPr>
              <w:spacing w:after="0" w:line="240" w:lineRule="auto"/>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41">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2">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Ақпаратты оңай ұсынады.</w:t>
            </w:r>
          </w:p>
          <w:p w:rsidR="00000000" w:rsidDel="00000000" w:rsidP="00000000" w:rsidRDefault="00000000" w:rsidRPr="00000000" w14:paraId="00000043">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Дұрыс тілді қолданады</w:t>
            </w:r>
          </w:p>
          <w:p w:rsidR="00000000" w:rsidDel="00000000" w:rsidP="00000000" w:rsidRDefault="00000000" w:rsidRPr="00000000" w14:paraId="00000044">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Мағынасы анық айтылған</w:t>
            </w:r>
          </w:p>
          <w:p w:rsidR="00000000" w:rsidDel="00000000" w:rsidP="00000000" w:rsidRDefault="00000000" w:rsidRPr="00000000" w14:paraId="00000045">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Мазмұн деңгейі талаптарға сай бола бермейді.</w:t>
            </w:r>
          </w:p>
          <w:p w:rsidR="00000000" w:rsidDel="00000000" w:rsidP="00000000" w:rsidRDefault="00000000" w:rsidRPr="00000000" w14:paraId="00000046">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Тезисте және/немесе библиографияда қателер бар.</w:t>
            </w:r>
          </w:p>
          <w:p w:rsidR="00000000" w:rsidDel="00000000" w:rsidP="00000000" w:rsidRDefault="00000000" w:rsidRPr="00000000" w14:paraId="00000047">
            <w:pPr>
              <w:spacing w:after="0" w:line="240" w:lineRule="auto"/>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48">
            <w:pPr>
              <w:spacing w:after="0" w:line="240" w:lineRule="auto"/>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49">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A">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Ақпаратты жеткізу біршама ұйымдастырылмаған</w:t>
            </w:r>
          </w:p>
          <w:p w:rsidR="00000000" w:rsidDel="00000000" w:rsidP="00000000" w:rsidRDefault="00000000" w:rsidRPr="00000000" w14:paraId="0000004B">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Дұрыс тілді қолдану үшін біраз күш-жігер көрсетеді.</w:t>
            </w:r>
          </w:p>
          <w:p w:rsidR="00000000" w:rsidDel="00000000" w:rsidP="00000000" w:rsidRDefault="00000000" w:rsidRPr="00000000" w14:paraId="0000004C">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Мағынасы біршама түсініксіз</w:t>
            </w:r>
          </w:p>
          <w:p w:rsidR="00000000" w:rsidDel="00000000" w:rsidP="00000000" w:rsidRDefault="00000000" w:rsidRPr="00000000" w14:paraId="0000004D">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Кейбір маңызды емес мазмұнды және қабылданбайтын мазмұн деңгейін қамтиды.</w:t>
            </w:r>
          </w:p>
          <w:p w:rsidR="00000000" w:rsidDel="00000000" w:rsidP="00000000" w:rsidRDefault="00000000" w:rsidRPr="00000000" w14:paraId="0000004E">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Тезис пен библиография нашар жазылған.</w:t>
            </w:r>
          </w:p>
          <w:p w:rsidR="00000000" w:rsidDel="00000000" w:rsidP="00000000" w:rsidRDefault="00000000" w:rsidRPr="00000000" w14:paraId="0000004F">
            <w:pPr>
              <w:spacing w:after="0" w:line="240" w:lineRule="auto"/>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50">
            <w:pPr>
              <w:spacing w:after="0" w:line="240" w:lineRule="auto"/>
              <w:rPr>
                <w:rFonts w:ascii="Times New Roman" w:cs="Times New Roman" w:eastAsia="Times New Roman" w:hAnsi="Times New Roman"/>
                <w:sz w:val="21"/>
                <w:szCs w:val="2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1">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Баяндаманы түсіну қиын</w:t>
            </w:r>
          </w:p>
          <w:p w:rsidR="00000000" w:rsidDel="00000000" w:rsidP="00000000" w:rsidRDefault="00000000" w:rsidRPr="00000000" w14:paraId="00000052">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Ақпаратты жеткізу қиын</w:t>
            </w:r>
          </w:p>
          <w:p w:rsidR="00000000" w:rsidDel="00000000" w:rsidP="00000000" w:rsidRDefault="00000000" w:rsidRPr="00000000" w14:paraId="00000053">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Жұмыстың маңыздылығын түсінбейді</w:t>
            </w:r>
          </w:p>
          <w:p w:rsidR="00000000" w:rsidDel="00000000" w:rsidP="00000000" w:rsidRDefault="00000000" w:rsidRPr="00000000" w14:paraId="00000054">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Адекватсыз мазмұн</w:t>
            </w:r>
          </w:p>
          <w:p w:rsidR="00000000" w:rsidDel="00000000" w:rsidP="00000000" w:rsidRDefault="00000000" w:rsidRPr="00000000" w14:paraId="00000055">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Тезис пен библиографияның мазмұны мен дизайны дұрыс емес.</w:t>
            </w:r>
          </w:p>
          <w:p w:rsidR="00000000" w:rsidDel="00000000" w:rsidP="00000000" w:rsidRDefault="00000000" w:rsidRPr="00000000" w14:paraId="00000056">
            <w:pPr>
              <w:spacing w:after="0" w:line="240" w:lineRule="auto"/>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57">
            <w:pPr>
              <w:spacing w:after="0" w:line="240" w:lineRule="auto"/>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58">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w:t>
            </w:r>
          </w:p>
        </w:tc>
      </w:tr>
      <w:tr>
        <w:trPr>
          <w:cantSplit w:val="0"/>
          <w:trHeight w:val="285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9">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Ғылыми мазмұнды түсіну</w:t>
            </w:r>
          </w:p>
          <w:p w:rsidR="00000000" w:rsidDel="00000000" w:rsidP="00000000" w:rsidRDefault="00000000" w:rsidRPr="00000000" w14:paraId="0000005A">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B">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Зерттеу мәселесін/зерттеу саласын анықтайды.</w:t>
            </w:r>
          </w:p>
          <w:p w:rsidR="00000000" w:rsidDel="00000000" w:rsidP="00000000" w:rsidRDefault="00000000" w:rsidRPr="00000000" w14:paraId="0000005C">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Эксперименттік тәсіл және оның салдары туралы толық түсінігі бар.</w:t>
            </w:r>
          </w:p>
          <w:p w:rsidR="00000000" w:rsidDel="00000000" w:rsidP="00000000" w:rsidRDefault="00000000" w:rsidRPr="00000000" w14:paraId="0000005D">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Нәтижелерді, әдістемені және қорытындыларды сыни тұрғыдан бағалайды.</w:t>
            </w:r>
          </w:p>
          <w:p w:rsidR="00000000" w:rsidDel="00000000" w:rsidP="00000000" w:rsidRDefault="00000000" w:rsidRPr="00000000" w14:paraId="0000005E">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Ғылыми тұрғыдан мұқият және жақсы зерттелген</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F">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Зерттеу мәселесін/зерттеу саласын анықтайды.</w:t>
            </w:r>
          </w:p>
          <w:p w:rsidR="00000000" w:rsidDel="00000000" w:rsidP="00000000" w:rsidRDefault="00000000" w:rsidRPr="00000000" w14:paraId="00000060">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Эксперименттік тәсіл және оның салдары туралы негізгі түсінігі бар.</w:t>
            </w:r>
          </w:p>
          <w:p w:rsidR="00000000" w:rsidDel="00000000" w:rsidP="00000000" w:rsidRDefault="00000000" w:rsidRPr="00000000" w14:paraId="00000061">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Нәтижелерді, әдістемені және қорытындыларды бағалаудың шектеулілігі бар.</w:t>
            </w:r>
          </w:p>
          <w:p w:rsidR="00000000" w:rsidDel="00000000" w:rsidP="00000000" w:rsidRDefault="00000000" w:rsidRPr="00000000" w14:paraId="00000062">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Жақсы зерттелген</w:t>
            </w:r>
          </w:p>
          <w:p w:rsidR="00000000" w:rsidDel="00000000" w:rsidP="00000000" w:rsidRDefault="00000000" w:rsidRPr="00000000" w14:paraId="00000063">
            <w:pPr>
              <w:spacing w:after="0" w:line="240" w:lineRule="auto"/>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64">
            <w:pPr>
              <w:spacing w:after="0" w:line="240" w:lineRule="auto"/>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65">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6">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Зерттеу мәселесі/зерттеу саласы біршама түсініксіз</w:t>
            </w:r>
          </w:p>
          <w:p w:rsidR="00000000" w:rsidDel="00000000" w:rsidP="00000000" w:rsidRDefault="00000000" w:rsidRPr="00000000" w14:paraId="00000067">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Эксперименттік тәсілдің сипаттамасы біршама шатастырады.</w:t>
            </w:r>
          </w:p>
          <w:p w:rsidR="00000000" w:rsidDel="00000000" w:rsidP="00000000" w:rsidRDefault="00000000" w:rsidRPr="00000000" w14:paraId="00000068">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Нәтижелер мен қорытындылар ұсынылған, бірақ сыни тұрғыдан бағаланбайды.</w:t>
            </w:r>
          </w:p>
          <w:p w:rsidR="00000000" w:rsidDel="00000000" w:rsidP="00000000" w:rsidRDefault="00000000" w:rsidRPr="00000000" w14:paraId="00000069">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Сыртқы көрсеткіштерді біріктірмейді</w:t>
            </w:r>
          </w:p>
          <w:p w:rsidR="00000000" w:rsidDel="00000000" w:rsidP="00000000" w:rsidRDefault="00000000" w:rsidRPr="00000000" w14:paraId="0000006A">
            <w:pPr>
              <w:spacing w:after="0" w:line="240" w:lineRule="auto"/>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6B">
            <w:pPr>
              <w:spacing w:after="0" w:line="240" w:lineRule="auto"/>
              <w:rPr>
                <w:rFonts w:ascii="Times New Roman" w:cs="Times New Roman" w:eastAsia="Times New Roman" w:hAnsi="Times New Roman"/>
                <w:sz w:val="21"/>
                <w:szCs w:val="2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C">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Зерттеуді түсінбейді</w:t>
            </w:r>
          </w:p>
          <w:p w:rsidR="00000000" w:rsidDel="00000000" w:rsidP="00000000" w:rsidRDefault="00000000" w:rsidRPr="00000000" w14:paraId="0000006D">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Эксперименттік тәсілді түсінбейді</w:t>
            </w:r>
          </w:p>
          <w:p w:rsidR="00000000" w:rsidDel="00000000" w:rsidP="00000000" w:rsidRDefault="00000000" w:rsidRPr="00000000" w14:paraId="0000006E">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Қорытындыларды немесе олардың болашақ жұмыс үшін салдарын түсінбейді.</w:t>
            </w:r>
          </w:p>
          <w:p w:rsidR="00000000" w:rsidDel="00000000" w:rsidP="00000000" w:rsidRDefault="00000000" w:rsidRPr="00000000" w14:paraId="0000006F">
            <w:pPr>
              <w:spacing w:after="0" w:line="240" w:lineRule="auto"/>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70">
            <w:pPr>
              <w:spacing w:after="0" w:line="240" w:lineRule="auto"/>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71">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w:t>
            </w:r>
          </w:p>
        </w:tc>
      </w:tr>
      <w:tr>
        <w:trPr>
          <w:cantSplit w:val="0"/>
          <w:trHeight w:val="225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2">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Стиль/баяндама </w:t>
            </w:r>
          </w:p>
          <w:p w:rsidR="00000000" w:rsidDel="00000000" w:rsidP="00000000" w:rsidRDefault="00000000" w:rsidRPr="00000000" w14:paraId="00000073">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4">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Уақытты ұтымды пайдаланады</w:t>
            </w:r>
          </w:p>
          <w:p w:rsidR="00000000" w:rsidDel="00000000" w:rsidP="00000000" w:rsidRDefault="00000000" w:rsidRPr="00000000" w14:paraId="00000075">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Жақсы қарқынмен және ынтамен сөйлейді.</w:t>
            </w:r>
          </w:p>
          <w:p w:rsidR="00000000" w:rsidDel="00000000" w:rsidP="00000000" w:rsidRDefault="00000000" w:rsidRPr="00000000" w14:paraId="00000076">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Көзбен байланыс жасайды және ақпаратты оқымайды.</w:t>
            </w:r>
          </w:p>
          <w:p w:rsidR="00000000" w:rsidDel="00000000" w:rsidP="00000000" w:rsidRDefault="00000000" w:rsidRPr="00000000" w14:paraId="00000077">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Жағымды реңк пен орынды сөздік қорын қолданады.</w:t>
            </w:r>
          </w:p>
          <w:p w:rsidR="00000000" w:rsidDel="00000000" w:rsidP="00000000" w:rsidRDefault="00000000" w:rsidRPr="00000000" w14:paraId="00000078">
            <w:pPr>
              <w:spacing w:after="0" w:line="240" w:lineRule="auto"/>
              <w:rPr>
                <w:rFonts w:ascii="Times New Roman" w:cs="Times New Roman" w:eastAsia="Times New Roman" w:hAnsi="Times New Roman"/>
                <w:sz w:val="21"/>
                <w:szCs w:val="2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9">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Жақсы сөйлейді, бірақ пікірлерді жиі қайталайды.</w:t>
            </w:r>
          </w:p>
          <w:p w:rsidR="00000000" w:rsidDel="00000000" w:rsidP="00000000" w:rsidRDefault="00000000" w:rsidRPr="00000000" w14:paraId="0000007A">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Шатасуды көрсетеді («ах», «хмм», т.б.)</w:t>
            </w:r>
          </w:p>
          <w:p w:rsidR="00000000" w:rsidDel="00000000" w:rsidP="00000000" w:rsidRDefault="00000000" w:rsidRPr="00000000" w14:paraId="0000007B">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Көз контактісін жасайды</w:t>
            </w:r>
          </w:p>
          <w:p w:rsidR="00000000" w:rsidDel="00000000" w:rsidP="00000000" w:rsidRDefault="00000000" w:rsidRPr="00000000" w14:paraId="0000007C">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Жақсы сөздік қорын пайдаланады.</w:t>
            </w:r>
          </w:p>
          <w:p w:rsidR="00000000" w:rsidDel="00000000" w:rsidP="00000000" w:rsidRDefault="00000000" w:rsidRPr="00000000" w14:paraId="0000007D">
            <w:pPr>
              <w:spacing w:after="0" w:line="240" w:lineRule="auto"/>
              <w:rPr>
                <w:rFonts w:ascii="Times New Roman" w:cs="Times New Roman" w:eastAsia="Times New Roman" w:hAnsi="Times New Roman"/>
                <w:sz w:val="21"/>
                <w:szCs w:val="2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E">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Баяндама уақытылы емес.</w:t>
            </w:r>
          </w:p>
          <w:p w:rsidR="00000000" w:rsidDel="00000000" w:rsidP="00000000" w:rsidRDefault="00000000" w:rsidRPr="00000000" w14:paraId="0000007F">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Кейбір тартынушылық пен белгісіздік бар.</w:t>
            </w:r>
          </w:p>
          <w:p w:rsidR="00000000" w:rsidDel="00000000" w:rsidP="00000000" w:rsidRDefault="00000000" w:rsidRPr="00000000" w14:paraId="00000080">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Сөйлеудің әр түрлі бұзылыстарын көрсетеді.</w:t>
            </w:r>
          </w:p>
          <w:p w:rsidR="00000000" w:rsidDel="00000000" w:rsidP="00000000" w:rsidRDefault="00000000" w:rsidRPr="00000000" w14:paraId="00000081">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Жазбаларды қарап, оқиды.</w:t>
            </w:r>
          </w:p>
          <w:p w:rsidR="00000000" w:rsidDel="00000000" w:rsidP="00000000" w:rsidRDefault="00000000" w:rsidRPr="00000000" w14:paraId="00000082">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Монотонды және қызықсыз баяндама</w:t>
            </w:r>
          </w:p>
          <w:p w:rsidR="00000000" w:rsidDel="00000000" w:rsidP="00000000" w:rsidRDefault="00000000" w:rsidRPr="00000000" w14:paraId="00000083">
            <w:pPr>
              <w:spacing w:after="0" w:line="240" w:lineRule="auto"/>
              <w:rPr>
                <w:rFonts w:ascii="Times New Roman" w:cs="Times New Roman" w:eastAsia="Times New Roman" w:hAnsi="Times New Roman"/>
                <w:sz w:val="21"/>
                <w:szCs w:val="2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4">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Баяндама уақытылы емес</w:t>
            </w:r>
          </w:p>
          <w:p w:rsidR="00000000" w:rsidDel="00000000" w:rsidP="00000000" w:rsidRDefault="00000000" w:rsidRPr="00000000" w14:paraId="00000085">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Жазбалардан оқиды.</w:t>
            </w:r>
          </w:p>
          <w:p w:rsidR="00000000" w:rsidDel="00000000" w:rsidP="00000000" w:rsidRDefault="00000000" w:rsidRPr="00000000" w14:paraId="00000086">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Аудитория естіп, түсіну үшін тым тыныш немесе жылдам сөйлейді.</w:t>
            </w:r>
          </w:p>
          <w:p w:rsidR="00000000" w:rsidDel="00000000" w:rsidP="00000000" w:rsidRDefault="00000000" w:rsidRPr="00000000" w14:paraId="00000087">
            <w:pPr>
              <w:spacing w:after="0" w:line="240" w:lineRule="auto"/>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88">
            <w:pPr>
              <w:spacing w:after="0" w:line="240" w:lineRule="auto"/>
              <w:rPr>
                <w:rFonts w:ascii="Times New Roman" w:cs="Times New Roman" w:eastAsia="Times New Roman" w:hAnsi="Times New Roman"/>
                <w:sz w:val="21"/>
                <w:szCs w:val="21"/>
              </w:rPr>
            </w:pPr>
            <w:r w:rsidDel="00000000" w:rsidR="00000000" w:rsidRPr="00000000">
              <w:rPr>
                <w:rtl w:val="0"/>
              </w:rPr>
            </w:r>
          </w:p>
        </w:tc>
      </w:tr>
      <w:tr>
        <w:trPr>
          <w:cantSplit w:val="0"/>
          <w:trHeight w:val="35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9">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Көрнекі құралдарды пайдалану</w:t>
            </w:r>
          </w:p>
          <w:p w:rsidR="00000000" w:rsidDel="00000000" w:rsidP="00000000" w:rsidRDefault="00000000" w:rsidRPr="00000000" w14:paraId="0000008A">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B">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Кестелер/графиктер деректерді және/немесе қорытындыларды жинақтайды.</w:t>
            </w:r>
          </w:p>
          <w:p w:rsidR="00000000" w:rsidDel="00000000" w:rsidP="00000000" w:rsidRDefault="00000000" w:rsidRPr="00000000" w14:paraId="0000008C">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Өлшемі мен таңбалары анық</w:t>
            </w:r>
          </w:p>
          <w:p w:rsidR="00000000" w:rsidDel="00000000" w:rsidP="00000000" w:rsidRDefault="00000000" w:rsidRPr="00000000" w14:paraId="0000008D">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 Өте аз мәтін</w:t>
            </w:r>
          </w:p>
          <w:p w:rsidR="00000000" w:rsidDel="00000000" w:rsidP="00000000" w:rsidRDefault="00000000" w:rsidRPr="00000000" w14:paraId="0000008E">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Сызбалар мен суреттер жақсы түсіндірілген және сипатталған.</w:t>
            </w:r>
          </w:p>
          <w:p w:rsidR="00000000" w:rsidDel="00000000" w:rsidP="00000000" w:rsidRDefault="00000000" w:rsidRPr="00000000" w14:paraId="0000008F">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Баяндамада орфографиялық немесе грамматикалық қателер жоқ.</w:t>
            </w:r>
          </w:p>
          <w:p w:rsidR="00000000" w:rsidDel="00000000" w:rsidP="00000000" w:rsidRDefault="00000000" w:rsidRPr="00000000" w14:paraId="00000090">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Лазерлік көрсеткішті шектеулі және тиімді көлемде пайдаланады.</w:t>
            </w:r>
          </w:p>
          <w:p w:rsidR="00000000" w:rsidDel="00000000" w:rsidP="00000000" w:rsidRDefault="00000000" w:rsidRPr="00000000" w14:paraId="00000091">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AV дұрыс конфигурацияланған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2">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Тиісті өлшемдегі мәтін.</w:t>
            </w:r>
          </w:p>
          <w:p w:rsidR="00000000" w:rsidDel="00000000" w:rsidP="00000000" w:rsidRDefault="00000000" w:rsidRPr="00000000" w14:paraId="00000093">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Өте аз мәтін.</w:t>
            </w:r>
          </w:p>
          <w:p w:rsidR="00000000" w:rsidDel="00000000" w:rsidP="00000000" w:rsidRDefault="00000000" w:rsidRPr="00000000" w14:paraId="00000094">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Суреттер мен суреттердің көпшілігі жақсы түсіндіріліп, сипатталған.</w:t>
            </w:r>
          </w:p>
          <w:p w:rsidR="00000000" w:rsidDel="00000000" w:rsidP="00000000" w:rsidRDefault="00000000" w:rsidRPr="00000000" w14:paraId="00000095">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Баяндамада кейде грамматикалық қателер болады.</w:t>
            </w:r>
          </w:p>
          <w:p w:rsidR="00000000" w:rsidDel="00000000" w:rsidP="00000000" w:rsidRDefault="00000000" w:rsidRPr="00000000" w14:paraId="00000096">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Лазерлік көрсеткішті тиімді пайдаланады.</w:t>
            </w:r>
          </w:p>
          <w:p w:rsidR="00000000" w:rsidDel="00000000" w:rsidP="00000000" w:rsidRDefault="00000000" w:rsidRPr="00000000" w14:paraId="00000097">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AV дұрыс конфигурацияланған</w:t>
            </w:r>
          </w:p>
          <w:p w:rsidR="00000000" w:rsidDel="00000000" w:rsidP="00000000" w:rsidRDefault="00000000" w:rsidRPr="00000000" w14:paraId="00000098">
            <w:pPr>
              <w:spacing w:after="0" w:line="240" w:lineRule="auto"/>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99">
            <w:pPr>
              <w:spacing w:after="0" w:line="240" w:lineRule="auto"/>
              <w:rPr>
                <w:rFonts w:ascii="Times New Roman" w:cs="Times New Roman" w:eastAsia="Times New Roman" w:hAnsi="Times New Roman"/>
                <w:sz w:val="21"/>
                <w:szCs w:val="2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A">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Белгілер мен белгілер біршама түсініксіз.</w:t>
            </w:r>
          </w:p>
          <w:p w:rsidR="00000000" w:rsidDel="00000000" w:rsidP="00000000" w:rsidRDefault="00000000" w:rsidRPr="00000000" w14:paraId="0000009B">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Мәтін өлшемі біршама кішкентай.</w:t>
            </w:r>
          </w:p>
          <w:p w:rsidR="00000000" w:rsidDel="00000000" w:rsidP="00000000" w:rsidRDefault="00000000" w:rsidRPr="00000000" w14:paraId="0000009C">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Слайдтардағы мәліметтер тым көп.</w:t>
            </w:r>
          </w:p>
          <w:p w:rsidR="00000000" w:rsidDel="00000000" w:rsidP="00000000" w:rsidRDefault="00000000" w:rsidRPr="00000000" w14:paraId="0000009D">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Слайдтардағы мәтін блоктары.</w:t>
            </w:r>
          </w:p>
          <w:p w:rsidR="00000000" w:rsidDel="00000000" w:rsidP="00000000" w:rsidRDefault="00000000" w:rsidRPr="00000000" w14:paraId="0000009E">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Суреттер түсіндірілді</w:t>
            </w:r>
          </w:p>
          <w:p w:rsidR="00000000" w:rsidDel="00000000" w:rsidP="00000000" w:rsidRDefault="00000000" w:rsidRPr="00000000" w14:paraId="0000009F">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Баяндамада грамматикалық қателер бар.</w:t>
            </w:r>
          </w:p>
          <w:p w:rsidR="00000000" w:rsidDel="00000000" w:rsidP="00000000" w:rsidRDefault="00000000" w:rsidRPr="00000000" w14:paraId="000000A0">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Лазерлік көрсеткішті қажетсіз пайдаланады.</w:t>
            </w:r>
          </w:p>
          <w:p w:rsidR="00000000" w:rsidDel="00000000" w:rsidP="00000000" w:rsidRDefault="00000000" w:rsidRPr="00000000" w14:paraId="000000A1">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AV жабдығына қатысты мәселелер шешілді.</w:t>
            </w:r>
          </w:p>
          <w:p w:rsidR="00000000" w:rsidDel="00000000" w:rsidP="00000000" w:rsidRDefault="00000000" w:rsidRPr="00000000" w14:paraId="000000A2">
            <w:pPr>
              <w:spacing w:after="0" w:line="240" w:lineRule="auto"/>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A3">
            <w:pPr>
              <w:spacing w:after="0" w:line="240" w:lineRule="auto"/>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A4">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5">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Таңбалау анық емес</w:t>
            </w:r>
          </w:p>
          <w:p w:rsidR="00000000" w:rsidDel="00000000" w:rsidP="00000000" w:rsidRDefault="00000000" w:rsidRPr="00000000" w14:paraId="000000A6">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Өлшемі көрінбейтін тым кішкентай.</w:t>
            </w:r>
          </w:p>
          <w:p w:rsidR="00000000" w:rsidDel="00000000" w:rsidP="00000000" w:rsidRDefault="00000000" w:rsidRPr="00000000" w14:paraId="000000A7">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Ақпараттың логикалық орналасуының болмауы.</w:t>
            </w:r>
          </w:p>
          <w:p w:rsidR="00000000" w:rsidDel="00000000" w:rsidP="00000000" w:rsidRDefault="00000000" w:rsidRPr="00000000" w14:paraId="000000A8">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Негізінен мәтін және өте аз кескіндер.</w:t>
            </w:r>
          </w:p>
          <w:p w:rsidR="00000000" w:rsidDel="00000000" w:rsidP="00000000" w:rsidRDefault="00000000" w:rsidRPr="00000000" w14:paraId="000000A9">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Суреттер түсіндірілмеген</w:t>
            </w:r>
          </w:p>
          <w:p w:rsidR="00000000" w:rsidDel="00000000" w:rsidP="00000000" w:rsidRDefault="00000000" w:rsidRPr="00000000" w14:paraId="000000AA">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Баяндамада грамматикалық қателер бар.</w:t>
            </w:r>
          </w:p>
          <w:p w:rsidR="00000000" w:rsidDel="00000000" w:rsidP="00000000" w:rsidRDefault="00000000" w:rsidRPr="00000000" w14:paraId="000000AB">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Лазерлік көрсеткішті пайдалану алаңдатады.</w:t>
            </w:r>
          </w:p>
          <w:p w:rsidR="00000000" w:rsidDel="00000000" w:rsidP="00000000" w:rsidRDefault="00000000" w:rsidRPr="00000000" w14:paraId="000000AC">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AV жабдығының ақаулары жойылмады</w:t>
            </w:r>
          </w:p>
          <w:p w:rsidR="00000000" w:rsidDel="00000000" w:rsidP="00000000" w:rsidRDefault="00000000" w:rsidRPr="00000000" w14:paraId="000000AD">
            <w:pPr>
              <w:spacing w:after="0" w:line="240" w:lineRule="auto"/>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AE">
            <w:pPr>
              <w:spacing w:after="0" w:line="240" w:lineRule="auto"/>
              <w:rPr>
                <w:rFonts w:ascii="Times New Roman" w:cs="Times New Roman" w:eastAsia="Times New Roman" w:hAnsi="Times New Roman"/>
                <w:sz w:val="21"/>
                <w:szCs w:val="21"/>
              </w:rPr>
            </w:pPr>
            <w:r w:rsidDel="00000000" w:rsidR="00000000" w:rsidRPr="00000000">
              <w:rPr>
                <w:rtl w:val="0"/>
              </w:rPr>
            </w:r>
          </w:p>
        </w:tc>
      </w:tr>
      <w:tr>
        <w:trPr>
          <w:cantSplit w:val="0"/>
          <w:trHeight w:val="22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F">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Сұрақтарға жауап бере білу</w:t>
            </w:r>
          </w:p>
          <w:p w:rsidR="00000000" w:rsidDel="00000000" w:rsidP="00000000" w:rsidRDefault="00000000" w:rsidRPr="00000000" w14:paraId="000000B0">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1">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Аудитория сұрақтарын болжайды.</w:t>
            </w:r>
          </w:p>
          <w:p w:rsidR="00000000" w:rsidDel="00000000" w:rsidP="00000000" w:rsidRDefault="00000000" w:rsidRPr="00000000" w14:paraId="000000B2">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Аудиторияның сұрақтарын түсінеді.</w:t>
            </w:r>
          </w:p>
          <w:p w:rsidR="00000000" w:rsidDel="00000000" w:rsidP="00000000" w:rsidRDefault="00000000" w:rsidRPr="00000000" w14:paraId="000000B3">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Сұрақтарға жауап беру үшін білімдерін біріктіре алады.</w:t>
            </w:r>
          </w:p>
          <w:p w:rsidR="00000000" w:rsidDel="00000000" w:rsidP="00000000" w:rsidRDefault="00000000" w:rsidRPr="00000000" w14:paraId="000000B4">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Сұрақтарға толық жауап береді</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5">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Аудитория сұрақтарын күтпейді.</w:t>
            </w:r>
          </w:p>
          <w:p w:rsidR="00000000" w:rsidDel="00000000" w:rsidP="00000000" w:rsidRDefault="00000000" w:rsidRPr="00000000" w14:paraId="000000B6">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Аудиторияның сұрақтарын түсінеді.</w:t>
            </w:r>
          </w:p>
          <w:p w:rsidR="00000000" w:rsidDel="00000000" w:rsidP="00000000" w:rsidRDefault="00000000" w:rsidRPr="00000000" w14:paraId="000000B7">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Сұрақтарға жауап беру үшін білімдерін біріктіре алады.</w:t>
            </w:r>
          </w:p>
          <w:p w:rsidR="00000000" w:rsidDel="00000000" w:rsidP="00000000" w:rsidRDefault="00000000" w:rsidRPr="00000000" w14:paraId="000000B8">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Сұрақтардың көпшілігіне егжей-тегжейлі жауап береді</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9">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Аудитория сұрақтарын күтпейді.</w:t>
            </w:r>
          </w:p>
          <w:p w:rsidR="00000000" w:rsidDel="00000000" w:rsidP="00000000" w:rsidRDefault="00000000" w:rsidRPr="00000000" w14:paraId="000000BA">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Мәселені шешуге күш салады</w:t>
            </w:r>
          </w:p>
          <w:p w:rsidR="00000000" w:rsidDel="00000000" w:rsidP="00000000" w:rsidRDefault="00000000" w:rsidRPr="00000000" w14:paraId="000000BB">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Кейбір сұрақтарға жауап бере алады</w:t>
            </w:r>
          </w:p>
          <w:p w:rsidR="00000000" w:rsidDel="00000000" w:rsidP="00000000" w:rsidRDefault="00000000" w:rsidRPr="00000000" w14:paraId="000000BC">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Көбінесе сұрақтарға нашар жауап береді</w:t>
            </w:r>
          </w:p>
          <w:p w:rsidR="00000000" w:rsidDel="00000000" w:rsidP="00000000" w:rsidRDefault="00000000" w:rsidRPr="00000000" w14:paraId="000000BD">
            <w:pPr>
              <w:spacing w:after="0" w:line="240" w:lineRule="auto"/>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BE">
            <w:pPr>
              <w:spacing w:after="0" w:line="240" w:lineRule="auto"/>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BF">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0">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Не сұрақтарға жауап беруге тырыспайды, не оны нашар орындайды.</w:t>
            </w:r>
          </w:p>
          <w:p w:rsidR="00000000" w:rsidDel="00000000" w:rsidP="00000000" w:rsidRDefault="00000000" w:rsidRPr="00000000" w14:paraId="000000C1">
            <w:pPr>
              <w:spacing w:after="0" w:line="24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 </w:t>
            </w:r>
          </w:p>
        </w:tc>
      </w:tr>
    </w:tbl>
    <w:p w:rsidR="00000000" w:rsidDel="00000000" w:rsidP="00000000" w:rsidRDefault="00000000" w:rsidRPr="00000000" w14:paraId="000000C2">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3">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4">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5">
      <w:pPr>
        <w:spacing w:after="0" w:line="240" w:lineRule="auto"/>
        <w:jc w:val="right"/>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C6">
      <w:pPr>
        <w:spacing w:after="0" w:line="240" w:lineRule="auto"/>
        <w:jc w:val="right"/>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C7">
      <w:pPr>
        <w:spacing w:after="0" w:line="240" w:lineRule="auto"/>
        <w:jc w:val="right"/>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Қосымша 1</w:t>
      </w:r>
    </w:p>
    <w:p w:rsidR="00000000" w:rsidDel="00000000" w:rsidP="00000000" w:rsidRDefault="00000000" w:rsidRPr="00000000" w14:paraId="000000C8">
      <w:pPr>
        <w:spacing w:after="0" w:line="240" w:lineRule="auto"/>
        <w:rPr>
          <w:rFonts w:ascii="Times New Roman" w:cs="Times New Roman" w:eastAsia="Times New Roman" w:hAnsi="Times New Roman"/>
        </w:rPr>
      </w:pPr>
      <w:r w:rsidDel="00000000" w:rsidR="00000000" w:rsidRPr="00000000">
        <w:rPr>
          <w:rtl w:val="0"/>
        </w:rPr>
      </w:r>
    </w:p>
    <w:tbl>
      <w:tblPr>
        <w:tblStyle w:val="Table2"/>
        <w:tblW w:w="133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0"/>
        <w:gridCol w:w="1155"/>
        <w:gridCol w:w="1155"/>
        <w:gridCol w:w="1290"/>
        <w:gridCol w:w="1365"/>
        <w:gridCol w:w="2250"/>
        <w:gridCol w:w="3345"/>
        <w:gridCol w:w="2385"/>
        <w:tblGridChange w:id="0">
          <w:tblGrid>
            <w:gridCol w:w="420"/>
            <w:gridCol w:w="1155"/>
            <w:gridCol w:w="1155"/>
            <w:gridCol w:w="1290"/>
            <w:gridCol w:w="1365"/>
            <w:gridCol w:w="2250"/>
            <w:gridCol w:w="3345"/>
            <w:gridCol w:w="2385"/>
          </w:tblGrid>
        </w:tblGridChange>
      </w:tblGrid>
      <w:tr>
        <w:trPr>
          <w:cantSplit w:val="0"/>
          <w:tblHeader w:val="0"/>
        </w:trPr>
        <w:tc>
          <w:tcPr/>
          <w:p w:rsidR="00000000" w:rsidDel="00000000" w:rsidP="00000000" w:rsidRDefault="00000000" w:rsidRPr="00000000" w14:paraId="000000C9">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w:t>
            </w:r>
          </w:p>
        </w:tc>
        <w:tc>
          <w:tcPr/>
          <w:p w:rsidR="00000000" w:rsidDel="00000000" w:rsidP="00000000" w:rsidRDefault="00000000" w:rsidRPr="00000000" w14:paraId="000000CA">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Студент аты-жөні</w:t>
            </w:r>
          </w:p>
        </w:tc>
        <w:tc>
          <w:tcPr/>
          <w:p w:rsidR="00000000" w:rsidDel="00000000" w:rsidP="00000000" w:rsidRDefault="00000000" w:rsidRPr="00000000" w14:paraId="000000CB">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CC">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Мақалаға сілтеме (авторлар, тақырып, журнал)</w:t>
            </w:r>
          </w:p>
        </w:tc>
        <w:tc>
          <w:tcPr/>
          <w:p w:rsidR="00000000" w:rsidDel="00000000" w:rsidP="00000000" w:rsidRDefault="00000000" w:rsidRPr="00000000" w14:paraId="000000C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Зерттеу гипотезалары</w:t>
            </w:r>
          </w:p>
        </w:tc>
        <w:tc>
          <w:tcPr/>
          <w:p w:rsidR="00000000" w:rsidDel="00000000" w:rsidP="00000000" w:rsidRDefault="00000000" w:rsidRPr="00000000" w14:paraId="000000CE">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Әдістер</w:t>
            </w:r>
          </w:p>
        </w:tc>
        <w:tc>
          <w:tcPr/>
          <w:p w:rsidR="00000000" w:rsidDel="00000000" w:rsidP="00000000" w:rsidRDefault="00000000" w:rsidRPr="00000000" w14:paraId="000000CF">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Нәтижелер</w:t>
            </w:r>
          </w:p>
        </w:tc>
        <w:tc>
          <w:tcPr/>
          <w:p w:rsidR="00000000" w:rsidDel="00000000" w:rsidP="00000000" w:rsidRDefault="00000000" w:rsidRPr="00000000" w14:paraId="000000D0">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Қорытынды</w:t>
            </w:r>
          </w:p>
        </w:tc>
      </w:tr>
      <w:tr>
        <w:trPr>
          <w:cantSplit w:val="0"/>
          <w:tblHeader w:val="0"/>
        </w:trPr>
        <w:tc>
          <w:tcPr/>
          <w:p w:rsidR="00000000" w:rsidDel="00000000" w:rsidP="00000000" w:rsidRDefault="00000000" w:rsidRPr="00000000" w14:paraId="000000D1">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p w:rsidR="00000000" w:rsidDel="00000000" w:rsidP="00000000" w:rsidRDefault="00000000" w:rsidRPr="00000000" w14:paraId="000000D2">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мфсал</w:t>
            </w:r>
          </w:p>
        </w:tc>
        <w:tc>
          <w:tcPr/>
          <w:p w:rsidR="00000000" w:rsidDel="00000000" w:rsidP="00000000" w:rsidRDefault="00000000" w:rsidRPr="00000000" w14:paraId="000000D3">
            <w:pPr>
              <w:pStyle w:val="Heading1"/>
              <w:keepNext w:val="0"/>
              <w:keepLines w:val="0"/>
              <w:shd w:fill="ffffff" w:val="clear"/>
              <w:spacing w:line="335" w:lineRule="auto"/>
              <w:rPr>
                <w:rFonts w:ascii="Times New Roman" w:cs="Times New Roman" w:eastAsia="Times New Roman" w:hAnsi="Times New Roman"/>
                <w:color w:val="212121"/>
                <w:sz w:val="20"/>
                <w:szCs w:val="20"/>
              </w:rPr>
            </w:pPr>
            <w:bookmarkStart w:colFirst="0" w:colLast="0" w:name="_heading=h.eiq83xj4e64u" w:id="0"/>
            <w:bookmarkEnd w:id="0"/>
            <w:r w:rsidDel="00000000" w:rsidR="00000000" w:rsidRPr="00000000">
              <w:rPr>
                <w:rFonts w:ascii="Times New Roman" w:cs="Times New Roman" w:eastAsia="Times New Roman" w:hAnsi="Times New Roman"/>
                <w:color w:val="212121"/>
                <w:sz w:val="20"/>
                <w:szCs w:val="20"/>
                <w:rtl w:val="0"/>
              </w:rPr>
              <w:t xml:space="preserve">Polymorphism in the beta(1)-adrenergic receptor gene and hypertension</w:t>
            </w:r>
          </w:p>
          <w:p w:rsidR="00000000" w:rsidDel="00000000" w:rsidP="00000000" w:rsidRDefault="00000000" w:rsidRPr="00000000" w14:paraId="000000D4">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D5">
            <w:pPr>
              <w:spacing w:after="0" w:line="240" w:lineRule="auto"/>
              <w:rPr>
                <w:rFonts w:ascii="Times New Roman" w:cs="Times New Roman" w:eastAsia="Times New Roman" w:hAnsi="Times New Roman"/>
                <w:sz w:val="20"/>
                <w:szCs w:val="20"/>
              </w:rPr>
            </w:pPr>
            <w:hyperlink r:id="rId7">
              <w:r w:rsidDel="00000000" w:rsidR="00000000" w:rsidRPr="00000000">
                <w:rPr>
                  <w:rFonts w:ascii="Times New Roman" w:cs="Times New Roman" w:eastAsia="Times New Roman" w:hAnsi="Times New Roman"/>
                  <w:color w:val="0071bc"/>
                  <w:sz w:val="20"/>
                  <w:szCs w:val="20"/>
                  <w:highlight w:val="white"/>
                  <w:rtl w:val="0"/>
                </w:rPr>
                <w:t xml:space="preserve">K Bengtsson</w:t>
              </w:r>
            </w:hyperlink>
            <w:r w:rsidDel="00000000" w:rsidR="00000000" w:rsidRPr="00000000">
              <w:rPr>
                <w:rFonts w:ascii="Times New Roman" w:cs="Times New Roman" w:eastAsia="Times New Roman" w:hAnsi="Times New Roman"/>
                <w:color w:val="5b616b"/>
                <w:sz w:val="20"/>
                <w:szCs w:val="20"/>
                <w:highlight w:val="white"/>
                <w:rtl w:val="0"/>
              </w:rPr>
              <w:t xml:space="preserve"> </w:t>
            </w:r>
            <w:hyperlink r:id="rId8">
              <w:r w:rsidDel="00000000" w:rsidR="00000000" w:rsidRPr="00000000">
                <w:rPr>
                  <w:rFonts w:ascii="Times New Roman" w:cs="Times New Roman" w:eastAsia="Times New Roman" w:hAnsi="Times New Roman"/>
                  <w:color w:val="323a45"/>
                  <w:sz w:val="20"/>
                  <w:szCs w:val="20"/>
                  <w:shd w:fill="f1f1f1" w:val="clear"/>
                  <w:rtl w:val="0"/>
                </w:rPr>
                <w:t xml:space="preserve">1</w:t>
              </w:r>
            </w:hyperlink>
            <w:r w:rsidDel="00000000" w:rsidR="00000000" w:rsidRPr="00000000">
              <w:rPr>
                <w:rFonts w:ascii="Times New Roman" w:cs="Times New Roman" w:eastAsia="Times New Roman" w:hAnsi="Times New Roman"/>
                <w:color w:val="5b616b"/>
                <w:sz w:val="20"/>
                <w:szCs w:val="20"/>
                <w:highlight w:val="white"/>
                <w:rtl w:val="0"/>
              </w:rPr>
              <w:t xml:space="preserve">, </w:t>
            </w:r>
            <w:hyperlink r:id="rId9">
              <w:r w:rsidDel="00000000" w:rsidR="00000000" w:rsidRPr="00000000">
                <w:rPr>
                  <w:rFonts w:ascii="Times New Roman" w:cs="Times New Roman" w:eastAsia="Times New Roman" w:hAnsi="Times New Roman"/>
                  <w:color w:val="0071bc"/>
                  <w:sz w:val="20"/>
                  <w:szCs w:val="20"/>
                  <w:highlight w:val="white"/>
                  <w:rtl w:val="0"/>
                </w:rPr>
                <w:t xml:space="preserve">O Melander</w:t>
              </w:r>
            </w:hyperlink>
            <w:r w:rsidDel="00000000" w:rsidR="00000000" w:rsidRPr="00000000">
              <w:rPr>
                <w:rFonts w:ascii="Times New Roman" w:cs="Times New Roman" w:eastAsia="Times New Roman" w:hAnsi="Times New Roman"/>
                <w:color w:val="5b616b"/>
                <w:sz w:val="20"/>
                <w:szCs w:val="20"/>
                <w:highlight w:val="white"/>
                <w:rtl w:val="0"/>
              </w:rPr>
              <w:t xml:space="preserve">, </w:t>
            </w:r>
            <w:hyperlink r:id="rId10">
              <w:r w:rsidDel="00000000" w:rsidR="00000000" w:rsidRPr="00000000">
                <w:rPr>
                  <w:rFonts w:ascii="Times New Roman" w:cs="Times New Roman" w:eastAsia="Times New Roman" w:hAnsi="Times New Roman"/>
                  <w:color w:val="0071bc"/>
                  <w:sz w:val="20"/>
                  <w:szCs w:val="20"/>
                  <w:highlight w:val="white"/>
                  <w:rtl w:val="0"/>
                </w:rPr>
                <w:t xml:space="preserve">M Orho-Melander</w:t>
              </w:r>
            </w:hyperlink>
            <w:r w:rsidDel="00000000" w:rsidR="00000000" w:rsidRPr="00000000">
              <w:rPr>
                <w:rFonts w:ascii="Times New Roman" w:cs="Times New Roman" w:eastAsia="Times New Roman" w:hAnsi="Times New Roman"/>
                <w:color w:val="5b616b"/>
                <w:sz w:val="20"/>
                <w:szCs w:val="20"/>
                <w:highlight w:val="white"/>
                <w:rtl w:val="0"/>
              </w:rPr>
              <w:t xml:space="preserve">, </w:t>
            </w:r>
            <w:hyperlink r:id="rId11">
              <w:r w:rsidDel="00000000" w:rsidR="00000000" w:rsidRPr="00000000">
                <w:rPr>
                  <w:rFonts w:ascii="Times New Roman" w:cs="Times New Roman" w:eastAsia="Times New Roman" w:hAnsi="Times New Roman"/>
                  <w:color w:val="0071bc"/>
                  <w:sz w:val="20"/>
                  <w:szCs w:val="20"/>
                  <w:highlight w:val="white"/>
                  <w:rtl w:val="0"/>
                </w:rPr>
                <w:t xml:space="preserve">U Lindblad</w:t>
              </w:r>
            </w:hyperlink>
            <w:r w:rsidDel="00000000" w:rsidR="00000000" w:rsidRPr="00000000">
              <w:rPr>
                <w:rFonts w:ascii="Times New Roman" w:cs="Times New Roman" w:eastAsia="Times New Roman" w:hAnsi="Times New Roman"/>
                <w:color w:val="5b616b"/>
                <w:sz w:val="20"/>
                <w:szCs w:val="20"/>
                <w:highlight w:val="white"/>
                <w:rtl w:val="0"/>
              </w:rPr>
              <w:t xml:space="preserve">, </w:t>
            </w:r>
            <w:hyperlink r:id="rId12">
              <w:r w:rsidDel="00000000" w:rsidR="00000000" w:rsidRPr="00000000">
                <w:rPr>
                  <w:rFonts w:ascii="Times New Roman" w:cs="Times New Roman" w:eastAsia="Times New Roman" w:hAnsi="Times New Roman"/>
                  <w:color w:val="0071bc"/>
                  <w:sz w:val="20"/>
                  <w:szCs w:val="20"/>
                  <w:highlight w:val="white"/>
                  <w:rtl w:val="0"/>
                </w:rPr>
                <w:t xml:space="preserve">J Ranstam</w:t>
              </w:r>
            </w:hyperlink>
            <w:r w:rsidDel="00000000" w:rsidR="00000000" w:rsidRPr="00000000">
              <w:rPr>
                <w:rFonts w:ascii="Times New Roman" w:cs="Times New Roman" w:eastAsia="Times New Roman" w:hAnsi="Times New Roman"/>
                <w:color w:val="5b616b"/>
                <w:sz w:val="20"/>
                <w:szCs w:val="20"/>
                <w:highlight w:val="white"/>
                <w:rtl w:val="0"/>
              </w:rPr>
              <w:t xml:space="preserve">, </w:t>
            </w:r>
            <w:hyperlink r:id="rId13">
              <w:r w:rsidDel="00000000" w:rsidR="00000000" w:rsidRPr="00000000">
                <w:rPr>
                  <w:rFonts w:ascii="Times New Roman" w:cs="Times New Roman" w:eastAsia="Times New Roman" w:hAnsi="Times New Roman"/>
                  <w:color w:val="0071bc"/>
                  <w:sz w:val="20"/>
                  <w:szCs w:val="20"/>
                  <w:highlight w:val="white"/>
                  <w:rtl w:val="0"/>
                </w:rPr>
                <w:t xml:space="preserve">L Råstam</w:t>
              </w:r>
            </w:hyperlink>
            <w:r w:rsidDel="00000000" w:rsidR="00000000" w:rsidRPr="00000000">
              <w:rPr>
                <w:rFonts w:ascii="Times New Roman" w:cs="Times New Roman" w:eastAsia="Times New Roman" w:hAnsi="Times New Roman"/>
                <w:color w:val="5b616b"/>
                <w:sz w:val="20"/>
                <w:szCs w:val="20"/>
                <w:highlight w:val="white"/>
                <w:rtl w:val="0"/>
              </w:rPr>
              <w:t xml:space="preserve">, </w:t>
            </w:r>
            <w:hyperlink r:id="rId14">
              <w:r w:rsidDel="00000000" w:rsidR="00000000" w:rsidRPr="00000000">
                <w:rPr>
                  <w:rFonts w:ascii="Times New Roman" w:cs="Times New Roman" w:eastAsia="Times New Roman" w:hAnsi="Times New Roman"/>
                  <w:color w:val="0071bc"/>
                  <w:sz w:val="20"/>
                  <w:szCs w:val="20"/>
                  <w:highlight w:val="white"/>
                  <w:rtl w:val="0"/>
                </w:rPr>
                <w:t xml:space="preserve">L Groop</w:t>
              </w:r>
            </w:hyperlink>
            <w:r w:rsidDel="00000000" w:rsidR="00000000" w:rsidRPr="00000000">
              <w:rPr>
                <w:rtl w:val="0"/>
              </w:rPr>
            </w:r>
          </w:p>
        </w:tc>
        <w:tc>
          <w:tcPr/>
          <w:p w:rsidR="00000000" w:rsidDel="00000000" w:rsidP="00000000" w:rsidRDefault="00000000" w:rsidRPr="00000000" w14:paraId="000000D6">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12121"/>
                <w:sz w:val="20"/>
                <w:szCs w:val="20"/>
                <w:highlight w:val="white"/>
                <w:rtl w:val="0"/>
              </w:rPr>
              <w:t xml:space="preserve">скандинавиялықтардағы гипертониямен байланысты полиморфизм</w:t>
            </w:r>
            <w:r w:rsidDel="00000000" w:rsidR="00000000" w:rsidRPr="00000000">
              <w:rPr>
                <w:rtl w:val="0"/>
              </w:rPr>
            </w:r>
          </w:p>
        </w:tc>
        <w:tc>
          <w:tcPr/>
          <w:p w:rsidR="00000000" w:rsidDel="00000000" w:rsidP="00000000" w:rsidRDefault="00000000" w:rsidRPr="00000000" w14:paraId="000000D7">
            <w:pPr>
              <w:spacing w:after="0" w:line="240" w:lineRule="auto"/>
              <w:rPr>
                <w:rFonts w:ascii="Times New Roman" w:cs="Times New Roman" w:eastAsia="Times New Roman" w:hAnsi="Times New Roman"/>
                <w:color w:val="212121"/>
                <w:sz w:val="20"/>
                <w:szCs w:val="20"/>
                <w:highlight w:val="white"/>
              </w:rPr>
            </w:pPr>
            <w:r w:rsidDel="00000000" w:rsidR="00000000" w:rsidRPr="00000000">
              <w:rPr>
                <w:rFonts w:ascii="Times New Roman" w:cs="Times New Roman" w:eastAsia="Times New Roman" w:hAnsi="Times New Roman"/>
                <w:color w:val="212121"/>
                <w:sz w:val="20"/>
                <w:szCs w:val="20"/>
                <w:highlight w:val="white"/>
                <w:rtl w:val="0"/>
              </w:rPr>
              <w:t xml:space="preserve">Жағдайларды бақылау қауымдастығының зерттеуіне барлығы 292 туыстық қатынасы жоқ диабеттік емес гипертониялық пациенттер және 265 байланысы жоқ дені сау адамдар қатысты. 118 жанұядан 102 жұп диабеттік емес аға-әпкелер гипертензияға қарсы дәрі-дәрмектерді қабылдамайтын, олар Arg389Gly полиморфизміне сәйкес келмейтін бауырластарды зерттеу үшін таңдалды. Arg389Gly және Ser49Gly полиморфизмдерінің аллельдік және генотиптік жиіліктері гипертензиясы бар емделушілер мен қалыпты қысымды бақылау субъектілері арасында салыстырылды.</w:t>
            </w:r>
          </w:p>
          <w:p w:rsidR="00000000" w:rsidDel="00000000" w:rsidP="00000000" w:rsidRDefault="00000000" w:rsidRPr="00000000" w14:paraId="000000D8">
            <w:pPr>
              <w:spacing w:after="0" w:line="240" w:lineRule="auto"/>
              <w:rPr>
                <w:rFonts w:ascii="Times New Roman" w:cs="Times New Roman" w:eastAsia="Times New Roman" w:hAnsi="Times New Roman"/>
                <w:color w:val="212121"/>
                <w:sz w:val="20"/>
                <w:szCs w:val="20"/>
                <w:highlight w:val="white"/>
              </w:rPr>
            </w:pPr>
            <w:r w:rsidDel="00000000" w:rsidR="00000000" w:rsidRPr="00000000">
              <w:rPr>
                <w:rFonts w:ascii="Times New Roman" w:cs="Times New Roman" w:eastAsia="Times New Roman" w:hAnsi="Times New Roman"/>
                <w:color w:val="212121"/>
                <w:sz w:val="20"/>
                <w:szCs w:val="20"/>
                <w:highlight w:val="white"/>
                <w:rtl w:val="0"/>
              </w:rPr>
              <w:t xml:space="preserve">Әртүрлі генотипті тасымалдаушылар арасында қан қысымы мен жүрек соғу жиілігі салыстырылды.</w:t>
            </w:r>
          </w:p>
        </w:tc>
        <w:tc>
          <w:tcPr/>
          <w:p w:rsidR="00000000" w:rsidDel="00000000" w:rsidP="00000000" w:rsidRDefault="00000000" w:rsidRPr="00000000" w14:paraId="000000D9">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Жағдай-бақылау зерттеуінде Arg389 аллелі үшін гомозиготалы субъектілерде жасына және дене салмағының индексіне сәйкес түзетілген гипертензияның даму ықтималдығы 1 немесе тасымалдаушылармен салыстырғанда 1,9 (95% сенімділік интервалы, 1,3-2,7; P=0,0005) болды. 1 немесе 2.7. Gly389 аллельінің 2 көшірмесі. Генотипке сәйкес келмейтін бауырлас жұптарды талдау Arg389 аллелі үшін гомозиготалы бауырластардың диастолалық қан қысымы айтарлықтай жоғары (79,4+/-9,9 және 76,0+/-10,1 мм сын.бағ.; P=0,003) және жүрек соғу жиілігі жоғары (611,3+) болғанын көрсетті. . қарсы минутына 65,1+/-9,4 соққы; P=0,02) Gly389 аллельінің 1 немесе 2 көшірмесін алып жүретін бауырластарға қарағанда. Ser49Gly полиморфизмі гипертензиямен байланысты емес.</w:t>
            </w:r>
          </w:p>
        </w:tc>
        <w:tc>
          <w:tcPr/>
          <w:p w:rsidR="00000000" w:rsidDel="00000000" w:rsidP="00000000" w:rsidRDefault="00000000" w:rsidRPr="00000000" w14:paraId="000000DA">
            <w:pPr>
              <w:shd w:fill="ffffff" w:val="clear"/>
              <w:spacing w:after="280" w:before="280" w:line="360" w:lineRule="auto"/>
              <w:rPr>
                <w:rFonts w:ascii="Times New Roman" w:cs="Times New Roman" w:eastAsia="Times New Roman" w:hAnsi="Times New Roman"/>
                <w:color w:val="212121"/>
                <w:sz w:val="20"/>
                <w:szCs w:val="20"/>
              </w:rPr>
            </w:pPr>
            <w:r w:rsidDel="00000000" w:rsidR="00000000" w:rsidRPr="00000000">
              <w:rPr>
                <w:rFonts w:ascii="Times New Roman" w:cs="Times New Roman" w:eastAsia="Times New Roman" w:hAnsi="Times New Roman"/>
                <w:color w:val="212121"/>
                <w:sz w:val="20"/>
                <w:szCs w:val="20"/>
                <w:rtl w:val="0"/>
              </w:rPr>
              <w:t xml:space="preserve">Біздің деректеріміз бета(1)-адренергиялық рецепторлар генінің Arg389 аллелі үшін гомозиготалы адамдарда гипертензияның даму қаупі жоғары екенін көрсетеді.</w:t>
            </w:r>
          </w:p>
          <w:p w:rsidR="00000000" w:rsidDel="00000000" w:rsidP="00000000" w:rsidRDefault="00000000" w:rsidRPr="00000000" w14:paraId="000000DB">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DC">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p w:rsidR="00000000" w:rsidDel="00000000" w:rsidP="00000000" w:rsidRDefault="00000000" w:rsidRPr="00000000" w14:paraId="000000D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мысал</w:t>
            </w:r>
          </w:p>
        </w:tc>
        <w:tc>
          <w:tcPr/>
          <w:p w:rsidR="00000000" w:rsidDel="00000000" w:rsidP="00000000" w:rsidRDefault="00000000" w:rsidRPr="00000000" w14:paraId="000000DE">
            <w:pPr>
              <w:shd w:fill="ffffff" w:val="clear"/>
              <w:spacing w:before="400" w:line="3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β-Adrenergic Receptor Gene Polymorphisms and β-Blocker Treatment Outcomes in Hypertension</w:t>
            </w:r>
          </w:p>
          <w:p w:rsidR="00000000" w:rsidDel="00000000" w:rsidP="00000000" w:rsidRDefault="00000000" w:rsidRPr="00000000" w14:paraId="000000DF">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E0">
            <w:pPr>
              <w:spacing w:after="0" w:line="240" w:lineRule="auto"/>
              <w:rPr>
                <w:rFonts w:ascii="Times New Roman" w:cs="Times New Roman" w:eastAsia="Times New Roman" w:hAnsi="Times New Roman"/>
                <w:sz w:val="20"/>
                <w:szCs w:val="20"/>
              </w:rPr>
            </w:pPr>
            <w:hyperlink r:id="rId15">
              <w:r w:rsidDel="00000000" w:rsidR="00000000" w:rsidRPr="00000000">
                <w:rPr>
                  <w:rFonts w:ascii="Times New Roman" w:cs="Times New Roman" w:eastAsia="Times New Roman" w:hAnsi="Times New Roman"/>
                  <w:color w:val="376faa"/>
                  <w:sz w:val="20"/>
                  <w:szCs w:val="20"/>
                  <w:highlight w:val="white"/>
                  <w:u w:val="single"/>
                  <w:rtl w:val="0"/>
                </w:rPr>
                <w:t xml:space="preserve">MA Pacanowski</w:t>
              </w:r>
            </w:hyperlink>
            <w:r w:rsidDel="00000000" w:rsidR="00000000" w:rsidRPr="00000000">
              <w:rPr>
                <w:rFonts w:ascii="Times New Roman" w:cs="Times New Roman" w:eastAsia="Times New Roman" w:hAnsi="Times New Roman"/>
                <w:color w:val="212121"/>
                <w:sz w:val="20"/>
                <w:szCs w:val="20"/>
                <w:highlight w:val="white"/>
                <w:rtl w:val="0"/>
              </w:rPr>
              <w:t xml:space="preserve">,1 </w:t>
            </w:r>
            <w:hyperlink r:id="rId16">
              <w:r w:rsidDel="00000000" w:rsidR="00000000" w:rsidRPr="00000000">
                <w:rPr>
                  <w:rFonts w:ascii="Times New Roman" w:cs="Times New Roman" w:eastAsia="Times New Roman" w:hAnsi="Times New Roman"/>
                  <w:color w:val="376faa"/>
                  <w:sz w:val="20"/>
                  <w:szCs w:val="20"/>
                  <w:highlight w:val="white"/>
                  <w:u w:val="single"/>
                  <w:rtl w:val="0"/>
                </w:rPr>
                <w:t xml:space="preserve">Y Gong</w:t>
              </w:r>
            </w:hyperlink>
            <w:r w:rsidDel="00000000" w:rsidR="00000000" w:rsidRPr="00000000">
              <w:rPr>
                <w:rFonts w:ascii="Times New Roman" w:cs="Times New Roman" w:eastAsia="Times New Roman" w:hAnsi="Times New Roman"/>
                <w:color w:val="212121"/>
                <w:sz w:val="20"/>
                <w:szCs w:val="20"/>
                <w:highlight w:val="white"/>
                <w:rtl w:val="0"/>
              </w:rPr>
              <w:t xml:space="preserve">,1 </w:t>
            </w:r>
            <w:hyperlink r:id="rId17">
              <w:r w:rsidDel="00000000" w:rsidR="00000000" w:rsidRPr="00000000">
                <w:rPr>
                  <w:rFonts w:ascii="Times New Roman" w:cs="Times New Roman" w:eastAsia="Times New Roman" w:hAnsi="Times New Roman"/>
                  <w:color w:val="376faa"/>
                  <w:sz w:val="20"/>
                  <w:szCs w:val="20"/>
                  <w:highlight w:val="white"/>
                  <w:u w:val="single"/>
                  <w:rtl w:val="0"/>
                </w:rPr>
                <w:t xml:space="preserve">RM Cooper-DeHoff</w:t>
              </w:r>
            </w:hyperlink>
            <w:r w:rsidDel="00000000" w:rsidR="00000000" w:rsidRPr="00000000">
              <w:rPr>
                <w:rFonts w:ascii="Times New Roman" w:cs="Times New Roman" w:eastAsia="Times New Roman" w:hAnsi="Times New Roman"/>
                <w:color w:val="212121"/>
                <w:sz w:val="20"/>
                <w:szCs w:val="20"/>
                <w:highlight w:val="white"/>
                <w:rtl w:val="0"/>
              </w:rPr>
              <w:t xml:space="preserve">,2 </w:t>
            </w:r>
            <w:hyperlink r:id="rId18">
              <w:r w:rsidDel="00000000" w:rsidR="00000000" w:rsidRPr="00000000">
                <w:rPr>
                  <w:rFonts w:ascii="Times New Roman" w:cs="Times New Roman" w:eastAsia="Times New Roman" w:hAnsi="Times New Roman"/>
                  <w:color w:val="376faa"/>
                  <w:sz w:val="20"/>
                  <w:szCs w:val="20"/>
                  <w:highlight w:val="white"/>
                  <w:u w:val="single"/>
                  <w:rtl w:val="0"/>
                </w:rPr>
                <w:t xml:space="preserve">NJ Schork</w:t>
              </w:r>
            </w:hyperlink>
            <w:r w:rsidDel="00000000" w:rsidR="00000000" w:rsidRPr="00000000">
              <w:rPr>
                <w:rFonts w:ascii="Times New Roman" w:cs="Times New Roman" w:eastAsia="Times New Roman" w:hAnsi="Times New Roman"/>
                <w:color w:val="212121"/>
                <w:sz w:val="20"/>
                <w:szCs w:val="20"/>
                <w:highlight w:val="white"/>
                <w:rtl w:val="0"/>
              </w:rPr>
              <w:t xml:space="preserve">,3 </w:t>
            </w:r>
            <w:hyperlink r:id="rId19">
              <w:r w:rsidDel="00000000" w:rsidR="00000000" w:rsidRPr="00000000">
                <w:rPr>
                  <w:rFonts w:ascii="Times New Roman" w:cs="Times New Roman" w:eastAsia="Times New Roman" w:hAnsi="Times New Roman"/>
                  <w:color w:val="376faa"/>
                  <w:sz w:val="20"/>
                  <w:szCs w:val="20"/>
                  <w:highlight w:val="white"/>
                  <w:u w:val="single"/>
                  <w:rtl w:val="0"/>
                </w:rPr>
                <w:t xml:space="preserve">MD Shriver</w:t>
              </w:r>
            </w:hyperlink>
            <w:r w:rsidDel="00000000" w:rsidR="00000000" w:rsidRPr="00000000">
              <w:rPr>
                <w:rFonts w:ascii="Times New Roman" w:cs="Times New Roman" w:eastAsia="Times New Roman" w:hAnsi="Times New Roman"/>
                <w:color w:val="212121"/>
                <w:sz w:val="20"/>
                <w:szCs w:val="20"/>
                <w:highlight w:val="white"/>
                <w:rtl w:val="0"/>
              </w:rPr>
              <w:t xml:space="preserve">,4 </w:t>
            </w:r>
            <w:hyperlink r:id="rId20">
              <w:r w:rsidDel="00000000" w:rsidR="00000000" w:rsidRPr="00000000">
                <w:rPr>
                  <w:rFonts w:ascii="Times New Roman" w:cs="Times New Roman" w:eastAsia="Times New Roman" w:hAnsi="Times New Roman"/>
                  <w:color w:val="376faa"/>
                  <w:sz w:val="20"/>
                  <w:szCs w:val="20"/>
                  <w:highlight w:val="white"/>
                  <w:u w:val="single"/>
                  <w:rtl w:val="0"/>
                </w:rPr>
                <w:t xml:space="preserve">TY Langaee</w:t>
              </w:r>
            </w:hyperlink>
            <w:r w:rsidDel="00000000" w:rsidR="00000000" w:rsidRPr="00000000">
              <w:rPr>
                <w:rFonts w:ascii="Times New Roman" w:cs="Times New Roman" w:eastAsia="Times New Roman" w:hAnsi="Times New Roman"/>
                <w:color w:val="212121"/>
                <w:sz w:val="20"/>
                <w:szCs w:val="20"/>
                <w:highlight w:val="white"/>
                <w:rtl w:val="0"/>
              </w:rPr>
              <w:t xml:space="preserve">,1 </w:t>
            </w:r>
            <w:hyperlink r:id="rId21">
              <w:r w:rsidDel="00000000" w:rsidR="00000000" w:rsidRPr="00000000">
                <w:rPr>
                  <w:rFonts w:ascii="Times New Roman" w:cs="Times New Roman" w:eastAsia="Times New Roman" w:hAnsi="Times New Roman"/>
                  <w:color w:val="376faa"/>
                  <w:sz w:val="20"/>
                  <w:szCs w:val="20"/>
                  <w:highlight w:val="white"/>
                  <w:u w:val="single"/>
                  <w:rtl w:val="0"/>
                </w:rPr>
                <w:t xml:space="preserve">CJ Pepine</w:t>
              </w:r>
            </w:hyperlink>
            <w:r w:rsidDel="00000000" w:rsidR="00000000" w:rsidRPr="00000000">
              <w:rPr>
                <w:rFonts w:ascii="Times New Roman" w:cs="Times New Roman" w:eastAsia="Times New Roman" w:hAnsi="Times New Roman"/>
                <w:color w:val="212121"/>
                <w:sz w:val="20"/>
                <w:szCs w:val="20"/>
                <w:highlight w:val="white"/>
                <w:rtl w:val="0"/>
              </w:rPr>
              <w:t xml:space="preserve">,2 and </w:t>
            </w:r>
            <w:hyperlink r:id="rId22">
              <w:r w:rsidDel="00000000" w:rsidR="00000000" w:rsidRPr="00000000">
                <w:rPr>
                  <w:rFonts w:ascii="Times New Roman" w:cs="Times New Roman" w:eastAsia="Times New Roman" w:hAnsi="Times New Roman"/>
                  <w:color w:val="376faa"/>
                  <w:sz w:val="20"/>
                  <w:szCs w:val="20"/>
                  <w:highlight w:val="white"/>
                  <w:u w:val="single"/>
                  <w:rtl w:val="0"/>
                </w:rPr>
                <w:t xml:space="preserve">JA Johnson</w:t>
              </w:r>
            </w:hyperlink>
            <w:r w:rsidDel="00000000" w:rsidR="00000000" w:rsidRPr="00000000">
              <w:rPr>
                <w:rFonts w:ascii="Times New Roman" w:cs="Times New Roman" w:eastAsia="Times New Roman" w:hAnsi="Times New Roman"/>
                <w:color w:val="212121"/>
                <w:sz w:val="20"/>
                <w:szCs w:val="20"/>
                <w:highlight w:val="white"/>
                <w:rtl w:val="0"/>
              </w:rPr>
              <w:t xml:space="preserve">1,2, </w:t>
            </w:r>
            <w:r w:rsidDel="00000000" w:rsidR="00000000" w:rsidRPr="00000000">
              <w:rPr>
                <w:rtl w:val="0"/>
              </w:rPr>
            </w:r>
          </w:p>
        </w:tc>
        <w:tc>
          <w:tcPr/>
          <w:p w:rsidR="00000000" w:rsidDel="00000000" w:rsidP="00000000" w:rsidRDefault="00000000" w:rsidRPr="00000000" w14:paraId="000000E1">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β1- және β2-адренергиялық рецепторлар гендерінің нұсқалары (ADRB1 және ADRB2) гипертония мен жүрек жеткіліксіздігі кезінде жүрек-қан тамырлары қаупіне және β-блокаторларға жауап береді.</w:t>
            </w:r>
          </w:p>
        </w:tc>
        <w:tc>
          <w:tcPr/>
          <w:p w:rsidR="00000000" w:rsidDel="00000000" w:rsidP="00000000" w:rsidRDefault="00000000" w:rsidRPr="00000000" w14:paraId="000000E2">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12121"/>
                <w:sz w:val="20"/>
                <w:szCs w:val="20"/>
                <w:highlight w:val="white"/>
                <w:rtl w:val="0"/>
              </w:rPr>
              <w:t xml:space="preserve">Біз коронарлық артерия ауруы бар 5895 пациентте ADRB1 және ADRB2 гаплотиптері, жүрек-қантамыр қаупі (өлім, өлімге әкелмейтін миокард инфарктісі (МИ) және өлімге әкелмейтін инсульт) және атенолол және верапамилдің ұзартылған шығарылымы (SR) бар антигипертензивті терапия арасындағы байланысты бағаладық (IHD қараңыз) науқастар.</w:t>
            </w:r>
            <w:r w:rsidDel="00000000" w:rsidR="00000000" w:rsidRPr="00000000">
              <w:rPr>
                <w:rtl w:val="0"/>
              </w:rPr>
            </w:r>
          </w:p>
        </w:tc>
        <w:tc>
          <w:tcPr/>
          <w:p w:rsidR="00000000" w:rsidDel="00000000" w:rsidP="00000000" w:rsidRDefault="00000000" w:rsidRPr="00000000" w14:paraId="000000E3">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Орташа алғанда 2,8 жыл ішінде ADRB1 Ser49-Arg389 гаплотипін (қауіптілік коэффициенті (HR) 3,66, 95% сенімділік аралығы (95% CI) 1,68–7,99) тасымалдаушы емделушілерде өлім көрсеткіші жоғары болды. Бұл өлім қаупі верапамил SR (HR 8,58, 95% CI 2,06–35,8) рандомизацияланған емделушілерде маңызды болды, бірақ атенолол емес (HR 2,31, 95% CI 0,82–6. 55), бұл β-блокатордың қорғаныш рөлін көрсетеді.</w:t>
            </w:r>
          </w:p>
        </w:tc>
        <w:tc>
          <w:tcPr/>
          <w:p w:rsidR="00000000" w:rsidDel="00000000" w:rsidP="00000000" w:rsidRDefault="00000000" w:rsidRPr="00000000" w14:paraId="000000E4">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12121"/>
                <w:sz w:val="20"/>
                <w:szCs w:val="20"/>
                <w:highlight w:val="white"/>
                <w:rtl w:val="0"/>
              </w:rPr>
              <w:t xml:space="preserve">ADRB2 гаплотипінің байланыстары емдеу топтары арасында ерекшеленді, бірақ бірнеше салыстыру үшін түзетуден кейін маңызды болып қалмады. ADRB1 гаплотипінің вариациялары өлім қаупімен байланысты және ADRB1 немесе ADRB2 полиморфизмдерімен анықталған пациенттердің кіші топтарында β-блокаторларға артықшылық беруге болады.</w:t>
            </w:r>
            <w:r w:rsidDel="00000000" w:rsidR="00000000" w:rsidRPr="00000000">
              <w:rPr>
                <w:rtl w:val="0"/>
              </w:rPr>
            </w:r>
          </w:p>
        </w:tc>
      </w:tr>
      <w:tr>
        <w:trPr>
          <w:cantSplit w:val="0"/>
          <w:tblHeader w:val="0"/>
        </w:trPr>
        <w:tc>
          <w:tcPr/>
          <w:p w:rsidR="00000000" w:rsidDel="00000000" w:rsidP="00000000" w:rsidRDefault="00000000" w:rsidRPr="00000000" w14:paraId="000000E5">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p w:rsidR="00000000" w:rsidDel="00000000" w:rsidP="00000000" w:rsidRDefault="00000000" w:rsidRPr="00000000" w14:paraId="000000E6">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E7">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E8">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E9">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EA">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EB">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EC">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p w:rsidR="00000000" w:rsidDel="00000000" w:rsidP="00000000" w:rsidRDefault="00000000" w:rsidRPr="00000000" w14:paraId="000000EE">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EF">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F0">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F1">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F2">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F3">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F4">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5">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p w:rsidR="00000000" w:rsidDel="00000000" w:rsidP="00000000" w:rsidRDefault="00000000" w:rsidRPr="00000000" w14:paraId="000000F6">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F7">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F8">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F9">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FA">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FB">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FC">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p w:rsidR="00000000" w:rsidDel="00000000" w:rsidP="00000000" w:rsidRDefault="00000000" w:rsidRPr="00000000" w14:paraId="000000FE">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FF">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00">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01">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02">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03">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04">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5">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c>
          <w:tcPr/>
          <w:p w:rsidR="00000000" w:rsidDel="00000000" w:rsidP="00000000" w:rsidRDefault="00000000" w:rsidRPr="00000000" w14:paraId="00000106">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07">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08">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09">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0A">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0B">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0C">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p w:rsidR="00000000" w:rsidDel="00000000" w:rsidP="00000000" w:rsidRDefault="00000000" w:rsidRPr="00000000" w14:paraId="0000010E">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0F">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10">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11">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12">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13">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14">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5">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w:t>
            </w:r>
          </w:p>
        </w:tc>
        <w:tc>
          <w:tcPr/>
          <w:p w:rsidR="00000000" w:rsidDel="00000000" w:rsidP="00000000" w:rsidRDefault="00000000" w:rsidRPr="00000000" w14:paraId="00000116">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17">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18">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19">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1A">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1B">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1C">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p w:rsidR="00000000" w:rsidDel="00000000" w:rsidP="00000000" w:rsidRDefault="00000000" w:rsidRPr="00000000" w14:paraId="0000011E">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1F">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20">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21">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22">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23">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24">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5">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w:t>
            </w:r>
          </w:p>
        </w:tc>
        <w:tc>
          <w:tcPr/>
          <w:p w:rsidR="00000000" w:rsidDel="00000000" w:rsidP="00000000" w:rsidRDefault="00000000" w:rsidRPr="00000000" w14:paraId="00000126">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27">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28">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29">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2A">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2B">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2C">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p w:rsidR="00000000" w:rsidDel="00000000" w:rsidP="00000000" w:rsidRDefault="00000000" w:rsidRPr="00000000" w14:paraId="0000012E">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2F">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0">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1">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2">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3">
            <w:pPr>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4">
            <w:pPr>
              <w:spacing w:after="0"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135">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6">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7">
      <w:pPr>
        <w:spacing w:after="0" w:line="24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8">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Қосымша 2</w:t>
      </w:r>
    </w:p>
    <w:p w:rsidR="00000000" w:rsidDel="00000000" w:rsidP="00000000" w:rsidRDefault="00000000" w:rsidRPr="00000000" w14:paraId="00000139">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Таңдау үшін ықтимал тақырыптарға арналған кілт сөздер</w:t>
      </w:r>
    </w:p>
    <w:p w:rsidR="00000000" w:rsidDel="00000000" w:rsidP="00000000" w:rsidRDefault="00000000" w:rsidRPr="00000000" w14:paraId="0000013A">
      <w:pPr>
        <w:spacing w:after="0" w:line="240" w:lineRule="auto"/>
        <w:rPr>
          <w:rFonts w:ascii="Times New Roman" w:cs="Times New Roman" w:eastAsia="Times New Roman" w:hAnsi="Times New Roman"/>
          <w:sz w:val="20"/>
          <w:szCs w:val="20"/>
        </w:rPr>
      </w:pPr>
      <w:r w:rsidDel="00000000" w:rsidR="00000000" w:rsidRPr="00000000">
        <w:rPr>
          <w:rtl w:val="0"/>
        </w:rPr>
      </w:r>
    </w:p>
    <w:tbl>
      <w:tblPr>
        <w:tblStyle w:val="Table3"/>
        <w:tblW w:w="133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5475"/>
        <w:gridCol w:w="3210"/>
        <w:tblGridChange w:id="0">
          <w:tblGrid>
            <w:gridCol w:w="2340"/>
            <w:gridCol w:w="2340"/>
            <w:gridCol w:w="5475"/>
            <w:gridCol w:w="321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B">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Ген</w:t>
            </w:r>
          </w:p>
        </w:tc>
        <w:tc>
          <w:tcPr>
            <w:shd w:fill="auto" w:val="clear"/>
            <w:tcMar>
              <w:top w:w="100.0" w:type="dxa"/>
              <w:left w:w="100.0" w:type="dxa"/>
              <w:bottom w:w="100.0" w:type="dxa"/>
              <w:right w:w="100.0" w:type="dxa"/>
            </w:tcMar>
          </w:tcPr>
          <w:p w:rsidR="00000000" w:rsidDel="00000000" w:rsidP="00000000" w:rsidRDefault="00000000" w:rsidRPr="00000000" w14:paraId="0000013C">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Гендер полиморфизмдері</w:t>
            </w:r>
          </w:p>
        </w:tc>
        <w:tc>
          <w:tcPr>
            <w:shd w:fill="auto" w:val="clear"/>
            <w:tcMar>
              <w:top w:w="100.0" w:type="dxa"/>
              <w:left w:w="100.0" w:type="dxa"/>
              <w:bottom w:w="100.0" w:type="dxa"/>
              <w:right w:w="100.0" w:type="dxa"/>
            </w:tcMar>
          </w:tcPr>
          <w:p w:rsidR="00000000" w:rsidDel="00000000" w:rsidP="00000000" w:rsidRDefault="00000000" w:rsidRPr="00000000" w14:paraId="0000013D">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Дәрілік заттар</w:t>
            </w:r>
          </w:p>
        </w:tc>
        <w:tc>
          <w:tcPr>
            <w:shd w:fill="auto" w:val="clear"/>
            <w:tcMar>
              <w:top w:w="100.0" w:type="dxa"/>
              <w:left w:w="100.0" w:type="dxa"/>
              <w:bottom w:w="100.0" w:type="dxa"/>
              <w:right w:w="100.0" w:type="dxa"/>
            </w:tcMar>
          </w:tcPr>
          <w:p w:rsidR="00000000" w:rsidDel="00000000" w:rsidP="00000000" w:rsidRDefault="00000000" w:rsidRPr="00000000" w14:paraId="0000013E">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Дәрілік заттардың тиімділігіне полиморфизмдердің әсері</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F">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CYP2D6</w:t>
            </w:r>
          </w:p>
        </w:tc>
        <w:tc>
          <w:tcPr>
            <w:shd w:fill="auto" w:val="clear"/>
            <w:tcMar>
              <w:top w:w="100.0" w:type="dxa"/>
              <w:left w:w="100.0" w:type="dxa"/>
              <w:bottom w:w="100.0" w:type="dxa"/>
              <w:right w:w="100.0" w:type="dxa"/>
            </w:tcMar>
          </w:tcPr>
          <w:p w:rsidR="00000000" w:rsidDel="00000000" w:rsidP="00000000" w:rsidRDefault="00000000" w:rsidRPr="00000000" w14:paraId="00000140">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1">
            <w:pPr>
              <w:widowControl w:val="0"/>
              <w:spacing w:after="240" w:before="2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Амитриптилин, атомоксетин, буфуралол, бупранолол, карведилол, хлорфенирамин, хлорпромазин, кломипрамин, клозапин, кодеин, дебризохин, дезипрамин, декстрометорфан, дигидрокодеин, энкаинид, флекаинид, флуоксетин, флувоксамин, гуаноксан, галоперидол, гидрокодон, имипрамин, мапротилин, 4 – метокси-амфетамин, метаклопрамид, метопролол, мексилетин, небиволол, нортриптилин, оксикодон, палоносетрон, пароксетин, перхексилин, перфеназин, феноформан, пропафенон, пророксифен, пропранол, риспер-прокон , толтеродин, трициклические антидепрессанты, трамадол, тразодон, венлафаксин</w:t>
            </w:r>
          </w:p>
        </w:tc>
        <w:tc>
          <w:tcPr>
            <w:shd w:fill="auto" w:val="clear"/>
            <w:tcMar>
              <w:top w:w="100.0" w:type="dxa"/>
              <w:left w:w="100.0" w:type="dxa"/>
              <w:bottom w:w="100.0" w:type="dxa"/>
              <w:right w:w="100.0" w:type="dxa"/>
            </w:tcMar>
          </w:tcPr>
          <w:p w:rsidR="00000000" w:rsidDel="00000000" w:rsidP="00000000" w:rsidRDefault="00000000" w:rsidRPr="00000000" w14:paraId="00000142">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3">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CYP2C9</w:t>
            </w:r>
          </w:p>
        </w:tc>
        <w:tc>
          <w:tcPr>
            <w:shd w:fill="auto" w:val="clear"/>
            <w:tcMar>
              <w:top w:w="100.0" w:type="dxa"/>
              <w:left w:w="100.0" w:type="dxa"/>
              <w:bottom w:w="100.0" w:type="dxa"/>
              <w:right w:w="100.0" w:type="dxa"/>
            </w:tcMar>
          </w:tcPr>
          <w:p w:rsidR="00000000" w:rsidDel="00000000" w:rsidP="00000000" w:rsidRDefault="00000000" w:rsidRPr="00000000" w14:paraId="00000144">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5">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Алосетрон, бозентан, целекоксиб, хлорпропамид, диклофенак, дронабинол, флурбипрофен, флувастатин, глимепирид, глипизид, глибурид, гексобарбитал, ибупрофен, индометацин, ирбесартан, лозартан, мелоксикам, монтелукаст, напроксен, натеглинид, фенобарбитал, фенитоин, пироксикам , росиглитазон, розувастатин, сульфаметоксазол, сульфафеназол, тикринафен, толбутамид, торасемид, триметадион, валсартан, S-варфарин</w:t>
            </w:r>
          </w:p>
        </w:tc>
        <w:tc>
          <w:tcPr>
            <w:shd w:fill="auto" w:val="clear"/>
            <w:tcMar>
              <w:top w:w="100.0" w:type="dxa"/>
              <w:left w:w="100.0" w:type="dxa"/>
              <w:bottom w:w="100.0" w:type="dxa"/>
              <w:right w:w="100.0" w:type="dxa"/>
            </w:tcMar>
          </w:tcPr>
          <w:p w:rsidR="00000000" w:rsidDel="00000000" w:rsidP="00000000" w:rsidRDefault="00000000" w:rsidRPr="00000000" w14:paraId="00000146">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7">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Глюкозо-6-фосфатдегидрогеназа</w:t>
            </w:r>
          </w:p>
        </w:tc>
        <w:tc>
          <w:tcPr>
            <w:shd w:fill="auto" w:val="clear"/>
            <w:tcMar>
              <w:top w:w="100.0" w:type="dxa"/>
              <w:left w:w="100.0" w:type="dxa"/>
              <w:bottom w:w="100.0" w:type="dxa"/>
              <w:right w:w="100.0" w:type="dxa"/>
            </w:tcMar>
          </w:tcPr>
          <w:p w:rsidR="00000000" w:rsidDel="00000000" w:rsidP="00000000" w:rsidRDefault="00000000" w:rsidRPr="00000000" w14:paraId="00000148">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9">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салицилаттар</w:t>
            </w:r>
          </w:p>
        </w:tc>
        <w:tc>
          <w:tcPr>
            <w:shd w:fill="auto" w:val="clear"/>
            <w:tcMar>
              <w:top w:w="100.0" w:type="dxa"/>
              <w:left w:w="100.0" w:type="dxa"/>
              <w:bottom w:w="100.0" w:type="dxa"/>
              <w:right w:w="100.0" w:type="dxa"/>
            </w:tcMar>
          </w:tcPr>
          <w:p w:rsidR="00000000" w:rsidDel="00000000" w:rsidP="00000000" w:rsidRDefault="00000000" w:rsidRPr="00000000" w14:paraId="0000014A">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B">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BCHE</w:t>
            </w:r>
          </w:p>
        </w:tc>
        <w:tc>
          <w:tcPr>
            <w:shd w:fill="auto" w:val="clear"/>
            <w:tcMar>
              <w:top w:w="100.0" w:type="dxa"/>
              <w:left w:w="100.0" w:type="dxa"/>
              <w:bottom w:w="100.0" w:type="dxa"/>
              <w:right w:w="100.0" w:type="dxa"/>
            </w:tcMar>
          </w:tcPr>
          <w:p w:rsidR="00000000" w:rsidDel="00000000" w:rsidP="00000000" w:rsidRDefault="00000000" w:rsidRPr="00000000" w14:paraId="0000014C">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D">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E">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F">
            <w:pPr>
              <w:pStyle w:val="Heading5"/>
              <w:keepNext w:val="0"/>
              <w:keepLines w:val="0"/>
              <w:widowControl w:val="0"/>
              <w:shd w:fill="ffffff" w:val="clear"/>
              <w:spacing w:before="0" w:line="288" w:lineRule="auto"/>
              <w:rPr>
                <w:rFonts w:ascii="Times New Roman" w:cs="Times New Roman" w:eastAsia="Times New Roman" w:hAnsi="Times New Roman"/>
                <w:color w:val="1952a4"/>
                <w:sz w:val="20"/>
                <w:szCs w:val="20"/>
                <w:u w:val="single"/>
              </w:rPr>
            </w:pPr>
            <w:hyperlink r:id="rId23">
              <w:r w:rsidDel="00000000" w:rsidR="00000000" w:rsidRPr="00000000">
                <w:rPr>
                  <w:rFonts w:ascii="Times New Roman" w:cs="Times New Roman" w:eastAsia="Times New Roman" w:hAnsi="Times New Roman"/>
                  <w:color w:val="1952a4"/>
                  <w:sz w:val="20"/>
                  <w:szCs w:val="20"/>
                  <w:u w:val="single"/>
                  <w:rtl w:val="0"/>
                </w:rPr>
                <w:t xml:space="preserve">P2RY12 PGx</w:t>
              </w:r>
            </w:hyperlink>
            <w:r w:rsidDel="00000000" w:rsidR="00000000" w:rsidRPr="00000000">
              <w:rPr>
                <w:rtl w:val="0"/>
              </w:rPr>
            </w:r>
          </w:p>
          <w:p w:rsidR="00000000" w:rsidDel="00000000" w:rsidP="00000000" w:rsidRDefault="00000000" w:rsidRPr="00000000" w14:paraId="00000150">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1">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2">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АДФ-индуцияланған агрегация</w:t>
            </w:r>
          </w:p>
        </w:tc>
        <w:tc>
          <w:tcPr>
            <w:shd w:fill="auto" w:val="clear"/>
            <w:tcMar>
              <w:top w:w="100.0" w:type="dxa"/>
              <w:left w:w="100.0" w:type="dxa"/>
              <w:bottom w:w="100.0" w:type="dxa"/>
              <w:right w:w="100.0" w:type="dxa"/>
            </w:tcMar>
          </w:tcPr>
          <w:p w:rsidR="00000000" w:rsidDel="00000000" w:rsidP="00000000" w:rsidRDefault="00000000" w:rsidRPr="00000000" w14:paraId="00000153">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4">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5">
            <w:pPr>
              <w:pStyle w:val="Heading5"/>
              <w:keepNext w:val="0"/>
              <w:keepLines w:val="0"/>
              <w:widowControl w:val="0"/>
              <w:shd w:fill="ffffff" w:val="clear"/>
              <w:spacing w:before="0" w:line="288" w:lineRule="auto"/>
              <w:rPr>
                <w:rFonts w:ascii="Times New Roman" w:cs="Times New Roman" w:eastAsia="Times New Roman" w:hAnsi="Times New Roman"/>
                <w:color w:val="1952a4"/>
                <w:sz w:val="20"/>
                <w:szCs w:val="20"/>
                <w:u w:val="single"/>
              </w:rPr>
            </w:pPr>
            <w:hyperlink r:id="rId24">
              <w:r w:rsidDel="00000000" w:rsidR="00000000" w:rsidRPr="00000000">
                <w:rPr>
                  <w:rFonts w:ascii="Times New Roman" w:cs="Times New Roman" w:eastAsia="Times New Roman" w:hAnsi="Times New Roman"/>
                  <w:color w:val="1952a4"/>
                  <w:sz w:val="20"/>
                  <w:szCs w:val="20"/>
                  <w:u w:val="single"/>
                  <w:rtl w:val="0"/>
                </w:rPr>
                <w:t xml:space="preserve">KCNJ11 PGx </w:t>
              </w:r>
            </w:hyperlink>
            <w:r w:rsidDel="00000000" w:rsidR="00000000" w:rsidRPr="00000000">
              <w:rPr>
                <w:rtl w:val="0"/>
              </w:rPr>
            </w:r>
          </w:p>
          <w:p w:rsidR="00000000" w:rsidDel="00000000" w:rsidP="00000000" w:rsidRDefault="00000000" w:rsidRPr="00000000" w14:paraId="00000156">
            <w:pPr>
              <w:pStyle w:val="Heading5"/>
              <w:keepNext w:val="0"/>
              <w:keepLines w:val="0"/>
              <w:widowControl w:val="0"/>
              <w:shd w:fill="ffffff" w:val="clear"/>
              <w:spacing w:before="0" w:line="288" w:lineRule="auto"/>
              <w:rPr>
                <w:rFonts w:ascii="Times New Roman" w:cs="Times New Roman" w:eastAsia="Times New Roman" w:hAnsi="Times New Roman"/>
                <w:color w:val="1952a4"/>
                <w:sz w:val="20"/>
                <w:szCs w:val="20"/>
                <w:u w:val="single"/>
              </w:rPr>
            </w:pPr>
            <w:bookmarkStart w:colFirst="0" w:colLast="0" w:name="_heading=h.e7belb6jgdyq" w:id="1"/>
            <w:bookmarkEnd w:id="1"/>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7">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8">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22222"/>
                <w:sz w:val="20"/>
                <w:szCs w:val="20"/>
                <w:highlight w:val="white"/>
                <w:rtl w:val="0"/>
              </w:rPr>
              <w:t xml:space="preserve">сульфонилмочевина туындылары</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9">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A">
            <w:pPr>
              <w:pStyle w:val="Heading5"/>
              <w:keepNext w:val="0"/>
              <w:keepLines w:val="0"/>
              <w:widowControl w:val="0"/>
              <w:shd w:fill="ffffff" w:val="clear"/>
              <w:spacing w:before="0" w:line="288" w:lineRule="auto"/>
              <w:rPr>
                <w:rFonts w:ascii="Times New Roman" w:cs="Times New Roman" w:eastAsia="Times New Roman" w:hAnsi="Times New Roman"/>
                <w:color w:val="1952a4"/>
                <w:sz w:val="20"/>
                <w:szCs w:val="20"/>
                <w:u w:val="single"/>
              </w:rPr>
            </w:pPr>
            <w:hyperlink r:id="rId25">
              <w:r w:rsidDel="00000000" w:rsidR="00000000" w:rsidRPr="00000000">
                <w:rPr>
                  <w:rFonts w:ascii="Times New Roman" w:cs="Times New Roman" w:eastAsia="Times New Roman" w:hAnsi="Times New Roman"/>
                  <w:color w:val="1952a4"/>
                  <w:sz w:val="20"/>
                  <w:szCs w:val="20"/>
                  <w:u w:val="single"/>
                  <w:rtl w:val="0"/>
                </w:rPr>
                <w:t xml:space="preserve">CYP2E1</w:t>
              </w:r>
            </w:hyperlink>
            <w:r w:rsidDel="00000000" w:rsidR="00000000" w:rsidRPr="00000000">
              <w:rPr>
                <w:rtl w:val="0"/>
              </w:rPr>
            </w:r>
          </w:p>
          <w:p w:rsidR="00000000" w:rsidDel="00000000" w:rsidP="00000000" w:rsidRDefault="00000000" w:rsidRPr="00000000" w14:paraId="0000015B">
            <w:pPr>
              <w:pStyle w:val="Heading5"/>
              <w:keepNext w:val="0"/>
              <w:keepLines w:val="0"/>
              <w:widowControl w:val="0"/>
              <w:shd w:fill="ffffff" w:val="clear"/>
              <w:spacing w:before="0" w:line="288" w:lineRule="auto"/>
              <w:rPr>
                <w:rFonts w:ascii="Times New Roman" w:cs="Times New Roman" w:eastAsia="Times New Roman" w:hAnsi="Times New Roman"/>
                <w:color w:val="1952a4"/>
                <w:sz w:val="20"/>
                <w:szCs w:val="20"/>
                <w:u w:val="single"/>
              </w:rPr>
            </w:pPr>
            <w:bookmarkStart w:colFirst="0" w:colLast="0" w:name="_heading=h.u7tg148uvhou" w:id="2"/>
            <w:bookmarkEnd w:id="2"/>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C">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D">
            <w:pPr>
              <w:widowControl w:val="0"/>
              <w:spacing w:after="0" w:line="240" w:lineRule="auto"/>
              <w:rPr>
                <w:rFonts w:ascii="Times New Roman" w:cs="Times New Roman" w:eastAsia="Times New Roman" w:hAnsi="Times New Roman"/>
                <w:color w:val="222222"/>
                <w:sz w:val="20"/>
                <w:szCs w:val="20"/>
                <w:highlight w:val="white"/>
              </w:rPr>
            </w:pPr>
            <w:r w:rsidDel="00000000" w:rsidR="00000000" w:rsidRPr="00000000">
              <w:rPr>
                <w:rFonts w:ascii="Times New Roman" w:cs="Times New Roman" w:eastAsia="Times New Roman" w:hAnsi="Times New Roman"/>
                <w:color w:val="222222"/>
                <w:sz w:val="20"/>
                <w:szCs w:val="20"/>
                <w:highlight w:val="white"/>
                <w:rtl w:val="0"/>
              </w:rPr>
              <w:t xml:space="preserve">Ацетаминофен, хлорзоксазон, дакарбазин, энфлюран, этанол (второстепенный путь пути), галотан, изофлуран, изониазид, севофлуран, теофиллин, триметадион.</w:t>
            </w:r>
          </w:p>
        </w:tc>
        <w:tc>
          <w:tcPr>
            <w:shd w:fill="auto" w:val="clear"/>
            <w:tcMar>
              <w:top w:w="100.0" w:type="dxa"/>
              <w:left w:w="100.0" w:type="dxa"/>
              <w:bottom w:w="100.0" w:type="dxa"/>
              <w:right w:w="100.0" w:type="dxa"/>
            </w:tcMar>
          </w:tcPr>
          <w:p w:rsidR="00000000" w:rsidDel="00000000" w:rsidP="00000000" w:rsidRDefault="00000000" w:rsidRPr="00000000" w14:paraId="0000015E">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F">
            <w:pPr>
              <w:pStyle w:val="Heading5"/>
              <w:keepNext w:val="0"/>
              <w:keepLines w:val="0"/>
              <w:widowControl w:val="0"/>
              <w:shd w:fill="ffffff" w:val="clear"/>
              <w:spacing w:before="0" w:line="288" w:lineRule="auto"/>
              <w:rPr>
                <w:rFonts w:ascii="Times New Roman" w:cs="Times New Roman" w:eastAsia="Times New Roman" w:hAnsi="Times New Roman"/>
                <w:color w:val="1952a4"/>
                <w:sz w:val="20"/>
                <w:szCs w:val="20"/>
                <w:u w:val="single"/>
              </w:rPr>
            </w:pPr>
            <w:hyperlink r:id="rId26">
              <w:r w:rsidDel="00000000" w:rsidR="00000000" w:rsidRPr="00000000">
                <w:rPr>
                  <w:rFonts w:ascii="Times New Roman" w:cs="Times New Roman" w:eastAsia="Times New Roman" w:hAnsi="Times New Roman"/>
                  <w:color w:val="1952a4"/>
                  <w:sz w:val="20"/>
                  <w:szCs w:val="20"/>
                  <w:u w:val="single"/>
                  <w:rtl w:val="0"/>
                </w:rPr>
                <w:t xml:space="preserve">CYP1A2 PGx</w:t>
              </w:r>
            </w:hyperlink>
            <w:r w:rsidDel="00000000" w:rsidR="00000000" w:rsidRPr="00000000">
              <w:rPr>
                <w:rtl w:val="0"/>
              </w:rPr>
            </w:r>
          </w:p>
          <w:p w:rsidR="00000000" w:rsidDel="00000000" w:rsidP="00000000" w:rsidRDefault="00000000" w:rsidRPr="00000000" w14:paraId="00000160">
            <w:pPr>
              <w:pStyle w:val="Heading5"/>
              <w:keepNext w:val="0"/>
              <w:keepLines w:val="0"/>
              <w:widowControl w:val="0"/>
              <w:shd w:fill="ffffff" w:val="clear"/>
              <w:spacing w:before="0" w:line="288" w:lineRule="auto"/>
              <w:rPr>
                <w:rFonts w:ascii="Times New Roman" w:cs="Times New Roman" w:eastAsia="Times New Roman" w:hAnsi="Times New Roman"/>
                <w:color w:val="1952a4"/>
                <w:sz w:val="20"/>
                <w:szCs w:val="20"/>
                <w:u w:val="single"/>
              </w:rPr>
            </w:pPr>
            <w:bookmarkStart w:colFirst="0" w:colLast="0" w:name="_heading=h.40euddgnx7m6" w:id="3"/>
            <w:bookmarkEnd w:id="3"/>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1">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2">
            <w:pPr>
              <w:widowControl w:val="0"/>
              <w:spacing w:after="0" w:line="240" w:lineRule="auto"/>
              <w:rPr>
                <w:rFonts w:ascii="Times New Roman" w:cs="Times New Roman" w:eastAsia="Times New Roman" w:hAnsi="Times New Roman"/>
                <w:color w:val="222222"/>
                <w:sz w:val="20"/>
                <w:szCs w:val="20"/>
                <w:highlight w:val="white"/>
              </w:rPr>
            </w:pPr>
            <w:r w:rsidDel="00000000" w:rsidR="00000000" w:rsidRPr="00000000">
              <w:rPr>
                <w:rFonts w:ascii="Times New Roman" w:cs="Times New Roman" w:eastAsia="Times New Roman" w:hAnsi="Times New Roman"/>
                <w:color w:val="222222"/>
                <w:sz w:val="20"/>
                <w:szCs w:val="20"/>
                <w:highlight w:val="white"/>
                <w:rtl w:val="0"/>
              </w:rPr>
              <w:t xml:space="preserve">кофеин және нейролептиктер</w:t>
            </w:r>
          </w:p>
        </w:tc>
        <w:tc>
          <w:tcPr>
            <w:shd w:fill="auto" w:val="clear"/>
            <w:tcMar>
              <w:top w:w="100.0" w:type="dxa"/>
              <w:left w:w="100.0" w:type="dxa"/>
              <w:bottom w:w="100.0" w:type="dxa"/>
              <w:right w:w="100.0" w:type="dxa"/>
            </w:tcMar>
          </w:tcPr>
          <w:p w:rsidR="00000000" w:rsidDel="00000000" w:rsidP="00000000" w:rsidRDefault="00000000" w:rsidRPr="00000000" w14:paraId="00000163">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4">
            <w:pPr>
              <w:pStyle w:val="Heading5"/>
              <w:keepNext w:val="0"/>
              <w:keepLines w:val="0"/>
              <w:widowControl w:val="0"/>
              <w:shd w:fill="ffffff" w:val="clear"/>
              <w:spacing w:before="0" w:line="288" w:lineRule="auto"/>
              <w:rPr>
                <w:rFonts w:ascii="Times New Roman" w:cs="Times New Roman" w:eastAsia="Times New Roman" w:hAnsi="Times New Roman"/>
                <w:color w:val="1952a4"/>
                <w:sz w:val="20"/>
                <w:szCs w:val="20"/>
                <w:u w:val="single"/>
              </w:rPr>
            </w:pPr>
            <w:hyperlink r:id="rId27">
              <w:r w:rsidDel="00000000" w:rsidR="00000000" w:rsidRPr="00000000">
                <w:rPr>
                  <w:rFonts w:ascii="Times New Roman" w:cs="Times New Roman" w:eastAsia="Times New Roman" w:hAnsi="Times New Roman"/>
                  <w:color w:val="1952a4"/>
                  <w:sz w:val="20"/>
                  <w:szCs w:val="20"/>
                  <w:u w:val="single"/>
                  <w:rtl w:val="0"/>
                </w:rPr>
                <w:t xml:space="preserve">ACE PGx</w:t>
              </w:r>
            </w:hyperlink>
            <w:r w:rsidDel="00000000" w:rsidR="00000000" w:rsidRPr="00000000">
              <w:rPr>
                <w:rtl w:val="0"/>
              </w:rPr>
            </w:r>
          </w:p>
          <w:p w:rsidR="00000000" w:rsidDel="00000000" w:rsidP="00000000" w:rsidRDefault="00000000" w:rsidRPr="00000000" w14:paraId="00000165">
            <w:pPr>
              <w:pStyle w:val="Heading5"/>
              <w:keepNext w:val="0"/>
              <w:keepLines w:val="0"/>
              <w:widowControl w:val="0"/>
              <w:shd w:fill="ffffff" w:val="clear"/>
              <w:spacing w:before="0" w:line="288" w:lineRule="auto"/>
              <w:rPr>
                <w:rFonts w:ascii="Times New Roman" w:cs="Times New Roman" w:eastAsia="Times New Roman" w:hAnsi="Times New Roman"/>
                <w:color w:val="1952a4"/>
                <w:sz w:val="20"/>
                <w:szCs w:val="20"/>
                <w:u w:val="single"/>
              </w:rPr>
            </w:pPr>
            <w:bookmarkStart w:colFirst="0" w:colLast="0" w:name="_heading=h.hzkso8dzh8xe" w:id="4"/>
            <w:bookmarkEnd w:id="4"/>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6">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7">
            <w:pPr>
              <w:widowControl w:val="0"/>
              <w:spacing w:after="0" w:line="240" w:lineRule="auto"/>
              <w:rPr>
                <w:rFonts w:ascii="Times New Roman" w:cs="Times New Roman" w:eastAsia="Times New Roman" w:hAnsi="Times New Roman"/>
                <w:color w:val="222222"/>
                <w:sz w:val="20"/>
                <w:szCs w:val="20"/>
                <w:highlight w:val="white"/>
              </w:rPr>
            </w:pPr>
            <w:r w:rsidDel="00000000" w:rsidR="00000000" w:rsidRPr="00000000">
              <w:rPr>
                <w:rFonts w:ascii="Times New Roman" w:cs="Times New Roman" w:eastAsia="Times New Roman" w:hAnsi="Times New Roman"/>
                <w:color w:val="222222"/>
                <w:sz w:val="20"/>
                <w:szCs w:val="20"/>
                <w:highlight w:val="white"/>
                <w:rtl w:val="0"/>
              </w:rPr>
              <w:t xml:space="preserve">АПФ ингибиторлары</w:t>
            </w:r>
          </w:p>
        </w:tc>
        <w:tc>
          <w:tcPr>
            <w:shd w:fill="auto" w:val="clear"/>
            <w:tcMar>
              <w:top w:w="100.0" w:type="dxa"/>
              <w:left w:w="100.0" w:type="dxa"/>
              <w:bottom w:w="100.0" w:type="dxa"/>
              <w:right w:w="100.0" w:type="dxa"/>
            </w:tcMar>
          </w:tcPr>
          <w:p w:rsidR="00000000" w:rsidDel="00000000" w:rsidP="00000000" w:rsidRDefault="00000000" w:rsidRPr="00000000" w14:paraId="00000168">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9">
            <w:pPr>
              <w:pStyle w:val="Heading5"/>
              <w:keepNext w:val="0"/>
              <w:keepLines w:val="0"/>
              <w:widowControl w:val="0"/>
              <w:shd w:fill="ffffff" w:val="clear"/>
              <w:spacing w:before="0" w:line="288" w:lineRule="auto"/>
              <w:rPr>
                <w:rFonts w:ascii="Times New Roman" w:cs="Times New Roman" w:eastAsia="Times New Roman" w:hAnsi="Times New Roman"/>
                <w:color w:val="1952a4"/>
                <w:sz w:val="20"/>
                <w:szCs w:val="20"/>
                <w:u w:val="single"/>
              </w:rPr>
            </w:pPr>
            <w:hyperlink r:id="rId28">
              <w:r w:rsidDel="00000000" w:rsidR="00000000" w:rsidRPr="00000000">
                <w:rPr>
                  <w:rFonts w:ascii="Times New Roman" w:cs="Times New Roman" w:eastAsia="Times New Roman" w:hAnsi="Times New Roman"/>
                  <w:color w:val="1952a4"/>
                  <w:sz w:val="20"/>
                  <w:szCs w:val="20"/>
                  <w:u w:val="single"/>
                  <w:rtl w:val="0"/>
                </w:rPr>
                <w:t xml:space="preserve">ADRB1 PG</w:t>
              </w:r>
            </w:hyperlink>
            <w:r w:rsidDel="00000000" w:rsidR="00000000" w:rsidRPr="00000000">
              <w:rPr>
                <w:rtl w:val="0"/>
              </w:rPr>
            </w:r>
          </w:p>
          <w:p w:rsidR="00000000" w:rsidDel="00000000" w:rsidP="00000000" w:rsidRDefault="00000000" w:rsidRPr="00000000" w14:paraId="0000016A">
            <w:pPr>
              <w:pStyle w:val="Heading5"/>
              <w:keepNext w:val="0"/>
              <w:keepLines w:val="0"/>
              <w:widowControl w:val="0"/>
              <w:shd w:fill="ffffff" w:val="clear"/>
              <w:spacing w:before="0" w:line="288" w:lineRule="auto"/>
              <w:rPr>
                <w:rFonts w:ascii="Times New Roman" w:cs="Times New Roman" w:eastAsia="Times New Roman" w:hAnsi="Times New Roman"/>
                <w:color w:val="1952a4"/>
                <w:sz w:val="20"/>
                <w:szCs w:val="20"/>
                <w:u w:val="single"/>
              </w:rPr>
            </w:pPr>
            <w:bookmarkStart w:colFirst="0" w:colLast="0" w:name="_heading=h.eznc2vs9foek" w:id="5"/>
            <w:bookmarkEnd w:id="5"/>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B">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C">
            <w:pPr>
              <w:widowControl w:val="0"/>
              <w:spacing w:after="0" w:line="240" w:lineRule="auto"/>
              <w:rPr>
                <w:rFonts w:ascii="Times New Roman" w:cs="Times New Roman" w:eastAsia="Times New Roman" w:hAnsi="Times New Roman"/>
                <w:color w:val="222222"/>
                <w:sz w:val="20"/>
                <w:szCs w:val="20"/>
                <w:highlight w:val="white"/>
              </w:rPr>
            </w:pPr>
            <w:r w:rsidDel="00000000" w:rsidR="00000000" w:rsidRPr="00000000">
              <w:rPr>
                <w:rFonts w:ascii="Times New Roman" w:cs="Times New Roman" w:eastAsia="Times New Roman" w:hAnsi="Times New Roman"/>
                <w:color w:val="222222"/>
                <w:sz w:val="20"/>
                <w:szCs w:val="20"/>
                <w:highlight w:val="white"/>
                <w:rtl w:val="0"/>
              </w:rPr>
              <w:t xml:space="preserve">Жүрек тінінде экспрессияланған G белокпен байланысқан рецептор</w:t>
            </w:r>
          </w:p>
        </w:tc>
        <w:tc>
          <w:tcPr>
            <w:shd w:fill="auto" w:val="clear"/>
            <w:tcMar>
              <w:top w:w="100.0" w:type="dxa"/>
              <w:left w:w="100.0" w:type="dxa"/>
              <w:bottom w:w="100.0" w:type="dxa"/>
              <w:right w:w="100.0" w:type="dxa"/>
            </w:tcMar>
          </w:tcPr>
          <w:p w:rsidR="00000000" w:rsidDel="00000000" w:rsidP="00000000" w:rsidRDefault="00000000" w:rsidRPr="00000000" w14:paraId="0000016D">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E">
            <w:pPr>
              <w:pStyle w:val="Heading5"/>
              <w:keepNext w:val="0"/>
              <w:keepLines w:val="0"/>
              <w:widowControl w:val="0"/>
              <w:shd w:fill="ffffff" w:val="clear"/>
              <w:spacing w:before="0" w:line="288" w:lineRule="auto"/>
              <w:rPr>
                <w:rFonts w:ascii="Times New Roman" w:cs="Times New Roman" w:eastAsia="Times New Roman" w:hAnsi="Times New Roman"/>
                <w:color w:val="1952a4"/>
                <w:sz w:val="20"/>
                <w:szCs w:val="20"/>
                <w:u w:val="single"/>
              </w:rPr>
            </w:pPr>
            <w:hyperlink r:id="rId29">
              <w:r w:rsidDel="00000000" w:rsidR="00000000" w:rsidRPr="00000000">
                <w:rPr>
                  <w:rFonts w:ascii="Times New Roman" w:cs="Times New Roman" w:eastAsia="Times New Roman" w:hAnsi="Times New Roman"/>
                  <w:color w:val="1952a4"/>
                  <w:sz w:val="20"/>
                  <w:szCs w:val="20"/>
                  <w:u w:val="single"/>
                  <w:rtl w:val="0"/>
                </w:rPr>
                <w:t xml:space="preserve">ADRB2 PGx</w:t>
              </w:r>
            </w:hyperlink>
            <w:r w:rsidDel="00000000" w:rsidR="00000000" w:rsidRPr="00000000">
              <w:rPr>
                <w:rtl w:val="0"/>
              </w:rPr>
            </w:r>
          </w:p>
          <w:p w:rsidR="00000000" w:rsidDel="00000000" w:rsidP="00000000" w:rsidRDefault="00000000" w:rsidRPr="00000000" w14:paraId="0000016F">
            <w:pPr>
              <w:pStyle w:val="Heading5"/>
              <w:keepNext w:val="0"/>
              <w:keepLines w:val="0"/>
              <w:widowControl w:val="0"/>
              <w:shd w:fill="ffffff" w:val="clear"/>
              <w:spacing w:before="0" w:line="288" w:lineRule="auto"/>
              <w:rPr>
                <w:rFonts w:ascii="Times New Roman" w:cs="Times New Roman" w:eastAsia="Times New Roman" w:hAnsi="Times New Roman"/>
                <w:color w:val="1952a4"/>
                <w:sz w:val="20"/>
                <w:szCs w:val="20"/>
                <w:u w:val="single"/>
              </w:rPr>
            </w:pPr>
            <w:bookmarkStart w:colFirst="0" w:colLast="0" w:name="_heading=h.xzal8r5x249m" w:id="6"/>
            <w:bookmarkEnd w:id="6"/>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0">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1">
            <w:pPr>
              <w:widowControl w:val="0"/>
              <w:spacing w:after="0" w:line="240" w:lineRule="auto"/>
              <w:rPr>
                <w:rFonts w:ascii="Times New Roman" w:cs="Times New Roman" w:eastAsia="Times New Roman" w:hAnsi="Times New Roman"/>
                <w:color w:val="222222"/>
                <w:sz w:val="20"/>
                <w:szCs w:val="20"/>
                <w:highlight w:val="white"/>
              </w:rPr>
            </w:pPr>
            <w:r w:rsidDel="00000000" w:rsidR="00000000" w:rsidRPr="00000000">
              <w:rPr>
                <w:rFonts w:ascii="Times New Roman" w:cs="Times New Roman" w:eastAsia="Times New Roman" w:hAnsi="Times New Roman"/>
                <w:color w:val="222222"/>
                <w:sz w:val="20"/>
                <w:szCs w:val="20"/>
                <w:highlight w:val="white"/>
                <w:rtl w:val="0"/>
              </w:rPr>
              <w:t xml:space="preserve">бета-2-адренергиялық рецептор</w:t>
            </w:r>
          </w:p>
        </w:tc>
        <w:tc>
          <w:tcPr>
            <w:shd w:fill="auto" w:val="clear"/>
            <w:tcMar>
              <w:top w:w="100.0" w:type="dxa"/>
              <w:left w:w="100.0" w:type="dxa"/>
              <w:bottom w:w="100.0" w:type="dxa"/>
              <w:right w:w="100.0" w:type="dxa"/>
            </w:tcMar>
          </w:tcPr>
          <w:p w:rsidR="00000000" w:rsidDel="00000000" w:rsidP="00000000" w:rsidRDefault="00000000" w:rsidRPr="00000000" w14:paraId="00000172">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3">
            <w:pPr>
              <w:pStyle w:val="Heading5"/>
              <w:keepNext w:val="0"/>
              <w:keepLines w:val="0"/>
              <w:widowControl w:val="0"/>
              <w:shd w:fill="ffffff" w:val="clear"/>
              <w:spacing w:before="0" w:line="288" w:lineRule="auto"/>
              <w:rPr>
                <w:rFonts w:ascii="Times New Roman" w:cs="Times New Roman" w:eastAsia="Times New Roman" w:hAnsi="Times New Roman"/>
                <w:color w:val="1952a4"/>
                <w:sz w:val="20"/>
                <w:szCs w:val="20"/>
                <w:u w:val="single"/>
              </w:rPr>
            </w:pPr>
            <w:hyperlink r:id="rId30">
              <w:r w:rsidDel="00000000" w:rsidR="00000000" w:rsidRPr="00000000">
                <w:rPr>
                  <w:rFonts w:ascii="Times New Roman" w:cs="Times New Roman" w:eastAsia="Times New Roman" w:hAnsi="Times New Roman"/>
                  <w:color w:val="1952a4"/>
                  <w:sz w:val="20"/>
                  <w:szCs w:val="20"/>
                  <w:u w:val="single"/>
                  <w:rtl w:val="0"/>
                </w:rPr>
                <w:t xml:space="preserve">CACNA1S PG</w:t>
              </w:r>
            </w:hyperlink>
            <w:r w:rsidDel="00000000" w:rsidR="00000000" w:rsidRPr="00000000">
              <w:rPr>
                <w:rtl w:val="0"/>
              </w:rPr>
            </w:r>
          </w:p>
          <w:p w:rsidR="00000000" w:rsidDel="00000000" w:rsidP="00000000" w:rsidRDefault="00000000" w:rsidRPr="00000000" w14:paraId="00000174">
            <w:pPr>
              <w:pStyle w:val="Heading5"/>
              <w:keepNext w:val="0"/>
              <w:keepLines w:val="0"/>
              <w:widowControl w:val="0"/>
              <w:shd w:fill="ffffff" w:val="clear"/>
              <w:spacing w:before="0" w:line="288" w:lineRule="auto"/>
              <w:rPr>
                <w:rFonts w:ascii="Times New Roman" w:cs="Times New Roman" w:eastAsia="Times New Roman" w:hAnsi="Times New Roman"/>
                <w:color w:val="1952a4"/>
                <w:sz w:val="20"/>
                <w:szCs w:val="20"/>
                <w:u w:val="single"/>
              </w:rPr>
            </w:pPr>
            <w:bookmarkStart w:colFirst="0" w:colLast="0" w:name="_heading=h.gxdv15lkuhyj" w:id="7"/>
            <w:bookmarkEnd w:id="7"/>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5">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6">
            <w:pPr>
              <w:widowControl w:val="0"/>
              <w:spacing w:after="0" w:line="240" w:lineRule="auto"/>
              <w:rPr>
                <w:rFonts w:ascii="Times New Roman" w:cs="Times New Roman" w:eastAsia="Times New Roman" w:hAnsi="Times New Roman"/>
                <w:color w:val="222222"/>
                <w:sz w:val="20"/>
                <w:szCs w:val="20"/>
                <w:highlight w:val="white"/>
              </w:rPr>
            </w:pPr>
            <w:r w:rsidDel="00000000" w:rsidR="00000000" w:rsidRPr="00000000">
              <w:rPr>
                <w:rFonts w:ascii="Times New Roman" w:cs="Times New Roman" w:eastAsia="Times New Roman" w:hAnsi="Times New Roman"/>
                <w:color w:val="222222"/>
                <w:sz w:val="20"/>
                <w:szCs w:val="20"/>
                <w:highlight w:val="white"/>
                <w:rtl w:val="0"/>
              </w:rPr>
              <w:t xml:space="preserve">L типті кальций арнасы</w:t>
            </w:r>
          </w:p>
        </w:tc>
        <w:tc>
          <w:tcPr>
            <w:shd w:fill="auto" w:val="clear"/>
            <w:tcMar>
              <w:top w:w="100.0" w:type="dxa"/>
              <w:left w:w="100.0" w:type="dxa"/>
              <w:bottom w:w="100.0" w:type="dxa"/>
              <w:right w:w="100.0" w:type="dxa"/>
            </w:tcMar>
          </w:tcPr>
          <w:p w:rsidR="00000000" w:rsidDel="00000000" w:rsidP="00000000" w:rsidRDefault="00000000" w:rsidRPr="00000000" w14:paraId="00000177">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178">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79">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7A">
      <w:pPr>
        <w:spacing w:after="0" w:line="24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7B">
      <w:pPr>
        <w:spacing w:after="0" w:line="24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7C">
      <w:pPr>
        <w:spacing w:after="0" w:line="24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7D">
      <w:pPr>
        <w:spacing w:after="0" w:line="24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7E">
      <w:pPr>
        <w:spacing w:after="0" w:line="24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7F">
      <w:pPr>
        <w:spacing w:after="0" w:line="24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80">
      <w:pPr>
        <w:spacing w:after="0" w:line="24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81">
      <w:pPr>
        <w:spacing w:after="0" w:line="24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82">
      <w:pPr>
        <w:spacing w:after="0" w:line="24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83">
      <w:pPr>
        <w:spacing w:after="0" w:line="24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84">
      <w:pPr>
        <w:spacing w:after="0" w:line="24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85">
      <w:pPr>
        <w:spacing w:after="0" w:line="24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86">
      <w:pPr>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Қосымша 3</w:t>
      </w:r>
    </w:p>
    <w:p w:rsidR="00000000" w:rsidDel="00000000" w:rsidP="00000000" w:rsidRDefault="00000000" w:rsidRPr="00000000" w14:paraId="00000187">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88">
      <w:pPr>
        <w:spacing w:after="0" w:line="240" w:lineRule="auto"/>
        <w:ind w:left="-56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0" distT="0" distL="0" distR="0">
            <wp:extent cx="9015413" cy="5439895"/>
            <wp:effectExtent b="0" l="0" r="0" t="0"/>
            <wp:docPr descr="Text, timeline&#10;&#10;Description automatically generated" id="2" name="image1.png"/>
            <a:graphic>
              <a:graphicData uri="http://schemas.openxmlformats.org/drawingml/2006/picture">
                <pic:pic>
                  <pic:nvPicPr>
                    <pic:cNvPr descr="Text, timeline&#10;&#10;Description automatically generated" id="0" name="image1.png"/>
                    <pic:cNvPicPr preferRelativeResize="0"/>
                  </pic:nvPicPr>
                  <pic:blipFill>
                    <a:blip r:embed="rId31"/>
                    <a:srcRect b="0" l="0" r="0" t="0"/>
                    <a:stretch>
                      <a:fillRect/>
                    </a:stretch>
                  </pic:blipFill>
                  <pic:spPr>
                    <a:xfrm>
                      <a:off x="0" y="0"/>
                      <a:ext cx="9015413" cy="5439895"/>
                    </a:xfrm>
                    <a:prstGeom prst="rect"/>
                    <a:ln/>
                  </pic:spPr>
                </pic:pic>
              </a:graphicData>
            </a:graphic>
          </wp:inline>
        </w:drawing>
      </w:r>
      <w:r w:rsidDel="00000000" w:rsidR="00000000" w:rsidRPr="00000000">
        <w:rPr>
          <w:rtl w:val="0"/>
        </w:rPr>
      </w:r>
    </w:p>
    <w:p w:rsidR="00000000" w:rsidDel="00000000" w:rsidP="00000000" w:rsidRDefault="00000000" w:rsidRPr="00000000" w14:paraId="00000189">
      <w:pPr>
        <w:spacing w:line="240" w:lineRule="auto"/>
        <w:ind w:left="-566" w:firstLine="0"/>
        <w:jc w:val="both"/>
        <w:rPr>
          <w:rFonts w:ascii="Times New Roman" w:cs="Times New Roman" w:eastAsia="Times New Roman" w:hAnsi="Times New Roman"/>
          <w:sz w:val="24"/>
          <w:szCs w:val="24"/>
        </w:rPr>
      </w:pPr>
      <w:r w:rsidDel="00000000" w:rsidR="00000000" w:rsidRPr="00000000">
        <w:rPr>
          <w:rtl w:val="0"/>
        </w:rPr>
      </w:r>
    </w:p>
    <w:sectPr>
      <w:pgSz w:h="11906" w:w="16838" w:orient="landscape"/>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pubmed.ncbi.nlm.nih.gov/?term=Langaee%20T%5BAuthor%5D" TargetMode="External"/><Relationship Id="rId22" Type="http://schemas.openxmlformats.org/officeDocument/2006/relationships/hyperlink" Target="https://pubmed.ncbi.nlm.nih.gov/?term=Johnson%20J%5BAuthor%5D" TargetMode="External"/><Relationship Id="rId21" Type="http://schemas.openxmlformats.org/officeDocument/2006/relationships/hyperlink" Target="https://pubmed.ncbi.nlm.nih.gov/?term=Pepine%20C%5BAuthor%5D" TargetMode="External"/><Relationship Id="rId24" Type="http://schemas.openxmlformats.org/officeDocument/2006/relationships/hyperlink" Target="https://www.pharmgkb.org/vip/PA166169501" TargetMode="External"/><Relationship Id="rId23" Type="http://schemas.openxmlformats.org/officeDocument/2006/relationships/hyperlink" Target="https://www.pharmgkb.org/vip/PA16616943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ubmed.ncbi.nlm.nih.gov/?term=Melander+O&amp;cauthor_id=11447084" TargetMode="External"/><Relationship Id="rId26" Type="http://schemas.openxmlformats.org/officeDocument/2006/relationships/hyperlink" Target="https://www.pharmgkb.org/vip/PA166165414" TargetMode="External"/><Relationship Id="rId25" Type="http://schemas.openxmlformats.org/officeDocument/2006/relationships/hyperlink" Target="https://www.pharmgkb.org/vip/PA166169425" TargetMode="External"/><Relationship Id="rId28" Type="http://schemas.openxmlformats.org/officeDocument/2006/relationships/hyperlink" Target="https://www.pharmgkb.org/vip/PA166170369" TargetMode="External"/><Relationship Id="rId27" Type="http://schemas.openxmlformats.org/officeDocument/2006/relationships/hyperlink" Target="https://www.pharmgkb.org/vip/PA166165404"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pharmgkb.org/vip/PA166165410" TargetMode="External"/><Relationship Id="rId7" Type="http://schemas.openxmlformats.org/officeDocument/2006/relationships/hyperlink" Target="https://pubmed.ncbi.nlm.nih.gov/?term=Bengtsson+K&amp;cauthor_id=11447084" TargetMode="External"/><Relationship Id="rId8" Type="http://schemas.openxmlformats.org/officeDocument/2006/relationships/hyperlink" Target="https://pubmed.ncbi.nlm.nih.gov/11447084/#affiliation-1" TargetMode="External"/><Relationship Id="rId31" Type="http://schemas.openxmlformats.org/officeDocument/2006/relationships/image" Target="media/image1.png"/><Relationship Id="rId30" Type="http://schemas.openxmlformats.org/officeDocument/2006/relationships/hyperlink" Target="https://www.pharmgkb.org/vip/PA166179230" TargetMode="External"/><Relationship Id="rId11" Type="http://schemas.openxmlformats.org/officeDocument/2006/relationships/hyperlink" Target="https://pubmed.ncbi.nlm.nih.gov/?term=Lindblad+U&amp;cauthor_id=11447084" TargetMode="External"/><Relationship Id="rId10" Type="http://schemas.openxmlformats.org/officeDocument/2006/relationships/hyperlink" Target="https://pubmed.ncbi.nlm.nih.gov/?term=Orho-Melander+M&amp;cauthor_id=11447084" TargetMode="External"/><Relationship Id="rId13" Type="http://schemas.openxmlformats.org/officeDocument/2006/relationships/hyperlink" Target="https://pubmed.ncbi.nlm.nih.gov/?term=R%C3%A5stam+L&amp;cauthor_id=11447084" TargetMode="External"/><Relationship Id="rId12" Type="http://schemas.openxmlformats.org/officeDocument/2006/relationships/hyperlink" Target="https://pubmed.ncbi.nlm.nih.gov/?term=Ranstam+J&amp;cauthor_id=11447084" TargetMode="External"/><Relationship Id="rId15" Type="http://schemas.openxmlformats.org/officeDocument/2006/relationships/hyperlink" Target="https://pubmed.ncbi.nlm.nih.gov/?term=Pacanowski%20M%5BAuthor%5D" TargetMode="External"/><Relationship Id="rId14" Type="http://schemas.openxmlformats.org/officeDocument/2006/relationships/hyperlink" Target="https://pubmed.ncbi.nlm.nih.gov/?term=Groop+L&amp;cauthor_id=11447084" TargetMode="External"/><Relationship Id="rId17" Type="http://schemas.openxmlformats.org/officeDocument/2006/relationships/hyperlink" Target="https://pubmed.ncbi.nlm.nih.gov/?term=Cooper-DeHoff%20R%5BAuthor%5D" TargetMode="External"/><Relationship Id="rId16" Type="http://schemas.openxmlformats.org/officeDocument/2006/relationships/hyperlink" Target="https://pubmed.ncbi.nlm.nih.gov/?term=Gong%20Y%5BAuthor%5D" TargetMode="External"/><Relationship Id="rId19" Type="http://schemas.openxmlformats.org/officeDocument/2006/relationships/hyperlink" Target="https://pubmed.ncbi.nlm.nih.gov/?term=Shriver%20M%5BAuthor%5D" TargetMode="External"/><Relationship Id="rId18" Type="http://schemas.openxmlformats.org/officeDocument/2006/relationships/hyperlink" Target="https://pubmed.ncbi.nlm.nih.gov/?term=Schork%20N%5BAuthor%5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K0nx8AJTuFChwj6d4HGCI5vpeA==">CgMxLjAyDmguZWlxODN4ajRlNjR1Mg5oLmU3YmVsYjZqZ2R5cTIOaC51N3RnMTQ4dXZob3UyDmguNDBldWRkZ254N202Mg5oLmh6a3NvOGR6aDh4ZTIOaC5lem5jMnZzOWZvZWsyDmgueHphbDhyNXgyNDltMg5oLmd4ZHYxNWxrdWh5ajgAciExQnJ5dTM4ajN3SE1NWGJmRHFfS1VobjNtTmxXQWk0SW0=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